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rsidP="00FD747E">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54C04">
        <w:trPr>
          <w:jc w:val="center"/>
        </w:trPr>
        <w:tc>
          <w:tcPr>
            <w:tcW w:w="743" w:type="dxa"/>
          </w:tcPr>
          <w:p w:rsidR="002914D6" w:rsidRPr="001F6EC9" w:rsidRDefault="001924E8">
            <w:pPr>
              <w:jc w:val="both"/>
              <w:rPr>
                <w:rFonts w:ascii="Arial" w:hAnsi="Arial"/>
                <w:b/>
                <w:bCs/>
                <w:sz w:val="26"/>
                <w:szCs w:val="26"/>
              </w:rPr>
            </w:pPr>
            <w:r w:rsidRPr="001F6EC9">
              <w:rPr>
                <w:rFonts w:ascii="Arial" w:hAnsi="Arial" w:hint="cs"/>
                <w:b/>
                <w:bCs/>
                <w:sz w:val="26"/>
                <w:szCs w:val="26"/>
                <w:rtl/>
              </w:rPr>
              <w:t>ב</w:t>
            </w:r>
            <w:r w:rsidRPr="001F6EC9">
              <w:rPr>
                <w:rFonts w:ascii="Arial" w:hAnsi="Arial"/>
                <w:b/>
                <w:bCs/>
                <w:sz w:val="26"/>
                <w:szCs w:val="26"/>
                <w:rtl/>
              </w:rPr>
              <w:t xml:space="preserve">פני </w:t>
            </w:r>
          </w:p>
        </w:tc>
        <w:tc>
          <w:tcPr>
            <w:tcW w:w="8077" w:type="dxa"/>
            <w:gridSpan w:val="2"/>
          </w:tcPr>
          <w:p w:rsidR="002914D6" w:rsidRPr="001F6EC9" w:rsidRDefault="001924E8">
            <w:pPr>
              <w:rPr>
                <w:rFonts w:ascii="Arial" w:hAnsi="Arial"/>
                <w:b/>
                <w:bCs/>
                <w:sz w:val="26"/>
                <w:szCs w:val="26"/>
                <w:rtl/>
              </w:rPr>
            </w:pPr>
            <w:r w:rsidRPr="001F6EC9">
              <w:rPr>
                <w:rFonts w:ascii="Arial" w:hAnsi="Arial" w:hint="cs"/>
                <w:b/>
                <w:bCs/>
                <w:sz w:val="26"/>
                <w:szCs w:val="26"/>
                <w:rtl/>
              </w:rPr>
              <w:t>כב' ה</w:t>
            </w:r>
            <w:r w:rsidRPr="001F6EC9">
              <w:rPr>
                <w:rFonts w:ascii="Arial" w:hAnsi="Arial"/>
                <w:b/>
                <w:bCs/>
                <w:sz w:val="26"/>
                <w:szCs w:val="26"/>
                <w:rtl/>
              </w:rPr>
              <w:t>שופטת</w:t>
            </w:r>
            <w:r w:rsidRPr="001F6EC9">
              <w:rPr>
                <w:rFonts w:ascii="Arial" w:hAnsi="Arial" w:hint="cs"/>
                <w:b/>
                <w:bCs/>
                <w:sz w:val="26"/>
                <w:szCs w:val="26"/>
                <w:rtl/>
              </w:rPr>
              <w:t xml:space="preserve">  </w:t>
            </w:r>
            <w:r w:rsidRPr="001F6EC9">
              <w:rPr>
                <w:rFonts w:ascii="Arial" w:hAnsi="Arial"/>
                <w:b/>
                <w:bCs/>
                <w:sz w:val="26"/>
                <w:szCs w:val="26"/>
                <w:rtl/>
              </w:rPr>
              <w:t>תמר סנונית פורר</w:t>
            </w:r>
          </w:p>
          <w:p w:rsidR="002914D6" w:rsidRPr="001F6EC9" w:rsidRDefault="002914D6">
            <w:pPr>
              <w:rPr>
                <w:rFonts w:ascii="Arial" w:hAnsi="Arial" w:cs="FrankRuehl"/>
                <w:sz w:val="26"/>
                <w:szCs w:val="26"/>
                <w:highlight w:val="yellow"/>
              </w:rPr>
            </w:pPr>
          </w:p>
        </w:tc>
      </w:tr>
      <w:tr w:rsidR="00F54C04">
        <w:trPr>
          <w:jc w:val="center"/>
        </w:trPr>
        <w:tc>
          <w:tcPr>
            <w:tcW w:w="3249" w:type="dxa"/>
            <w:gridSpan w:val="2"/>
          </w:tcPr>
          <w:p w:rsidR="002914D6" w:rsidRPr="001924E8" w:rsidRDefault="001924E8" w:rsidP="00BD5B6B">
            <w:pPr>
              <w:bidi w:val="0"/>
              <w:jc w:val="right"/>
              <w:rPr>
                <w:rFonts w:ascii="Arial" w:hAnsi="Arial"/>
                <w:b/>
                <w:bCs/>
                <w:noProof w:val="0"/>
                <w:sz w:val="26"/>
                <w:szCs w:val="26"/>
                <w:rtl/>
              </w:rPr>
            </w:pPr>
            <w:r w:rsidRPr="001924E8">
              <w:rPr>
                <w:rFonts w:ascii="Arial" w:hAnsi="Arial" w:hint="cs"/>
                <w:b/>
                <w:bCs/>
                <w:noProof w:val="0"/>
                <w:sz w:val="26"/>
                <w:szCs w:val="26"/>
                <w:u w:val="single"/>
                <w:rtl/>
              </w:rPr>
              <w:t>התובע</w:t>
            </w:r>
            <w:r w:rsidRPr="001924E8">
              <w:rPr>
                <w:rFonts w:ascii="Arial" w:hAnsi="Arial" w:hint="cs"/>
                <w:b/>
                <w:bCs/>
                <w:noProof w:val="0"/>
                <w:sz w:val="26"/>
                <w:szCs w:val="26"/>
                <w:rtl/>
              </w:rPr>
              <w:t>:</w:t>
            </w:r>
          </w:p>
        </w:tc>
        <w:tc>
          <w:tcPr>
            <w:tcW w:w="5571" w:type="dxa"/>
          </w:tcPr>
          <w:p w:rsidR="002914D6" w:rsidRPr="001924E8" w:rsidRDefault="00FD747E" w:rsidP="00BD5B6B">
            <w:pPr>
              <w:rPr>
                <w:rStyle w:val="ac"/>
                <w:b/>
                <w:bCs/>
                <w:color w:val="auto"/>
                <w:sz w:val="26"/>
                <w:szCs w:val="26"/>
                <w:rtl/>
              </w:rPr>
            </w:pPr>
            <w:r w:rsidRPr="004646B5">
              <w:rPr>
                <w:rStyle w:val="ac"/>
                <w:rFonts w:hint="eastAsia"/>
                <w:b/>
                <w:bCs/>
                <w:color w:val="auto"/>
                <w:sz w:val="26"/>
                <w:szCs w:val="26"/>
                <w:rtl/>
              </w:rPr>
              <w:t>האב</w:t>
            </w:r>
          </w:p>
          <w:p w:rsidR="001F6EC9" w:rsidRPr="001924E8" w:rsidRDefault="001924E8" w:rsidP="00BD5B6B">
            <w:pPr>
              <w:rPr>
                <w:b/>
                <w:bCs/>
                <w:noProof w:val="0"/>
                <w:sz w:val="26"/>
                <w:szCs w:val="26"/>
              </w:rPr>
            </w:pPr>
            <w:r w:rsidRPr="001924E8">
              <w:rPr>
                <w:rFonts w:hint="eastAsia"/>
                <w:b/>
                <w:bCs/>
                <w:noProof w:val="0"/>
                <w:sz w:val="26"/>
                <w:szCs w:val="26"/>
                <w:rtl/>
              </w:rPr>
              <w:t>ע</w:t>
            </w:r>
            <w:r w:rsidRPr="001924E8">
              <w:rPr>
                <w:b/>
                <w:bCs/>
                <w:noProof w:val="0"/>
                <w:sz w:val="26"/>
                <w:szCs w:val="26"/>
                <w:rtl/>
              </w:rPr>
              <w:t xml:space="preserve">"י </w:t>
            </w:r>
            <w:r w:rsidRPr="001924E8">
              <w:rPr>
                <w:rFonts w:hint="eastAsia"/>
                <w:b/>
                <w:bCs/>
                <w:noProof w:val="0"/>
                <w:sz w:val="26"/>
                <w:szCs w:val="26"/>
                <w:rtl/>
              </w:rPr>
              <w:t>ב</w:t>
            </w:r>
            <w:r w:rsidRPr="001924E8">
              <w:rPr>
                <w:b/>
                <w:bCs/>
                <w:noProof w:val="0"/>
                <w:sz w:val="26"/>
                <w:szCs w:val="26"/>
                <w:rtl/>
              </w:rPr>
              <w:t xml:space="preserve">"כ </w:t>
            </w:r>
            <w:r w:rsidRPr="001924E8">
              <w:rPr>
                <w:rFonts w:hint="eastAsia"/>
                <w:b/>
                <w:bCs/>
                <w:noProof w:val="0"/>
                <w:sz w:val="26"/>
                <w:szCs w:val="26"/>
                <w:rtl/>
              </w:rPr>
              <w:t>עו</w:t>
            </w:r>
            <w:r w:rsidRPr="001924E8">
              <w:rPr>
                <w:b/>
                <w:bCs/>
                <w:noProof w:val="0"/>
                <w:sz w:val="26"/>
                <w:szCs w:val="26"/>
                <w:rtl/>
              </w:rPr>
              <w:t xml:space="preserve">"ד </w:t>
            </w:r>
            <w:r w:rsidRPr="001924E8">
              <w:rPr>
                <w:rFonts w:hint="eastAsia"/>
                <w:b/>
                <w:bCs/>
                <w:noProof w:val="0"/>
                <w:sz w:val="26"/>
                <w:szCs w:val="26"/>
                <w:rtl/>
              </w:rPr>
              <w:t>לוי</w:t>
            </w:r>
          </w:p>
        </w:tc>
      </w:tr>
      <w:tr w:rsidR="00F54C04">
        <w:trPr>
          <w:jc w:val="center"/>
        </w:trPr>
        <w:tc>
          <w:tcPr>
            <w:tcW w:w="8820" w:type="dxa"/>
            <w:gridSpan w:val="3"/>
          </w:tcPr>
          <w:p w:rsidR="002914D6" w:rsidRPr="001924E8" w:rsidRDefault="002914D6">
            <w:pPr>
              <w:rPr>
                <w:rFonts w:ascii="Arial" w:hAnsi="Arial"/>
                <w:b/>
                <w:bCs/>
                <w:noProof w:val="0"/>
                <w:sz w:val="26"/>
                <w:szCs w:val="26"/>
                <w:rtl/>
              </w:rPr>
            </w:pPr>
          </w:p>
          <w:p w:rsidR="002914D6" w:rsidRPr="001924E8" w:rsidRDefault="001924E8">
            <w:pPr>
              <w:jc w:val="center"/>
              <w:rPr>
                <w:rFonts w:ascii="Arial" w:hAnsi="Arial"/>
                <w:b/>
                <w:bCs/>
                <w:noProof w:val="0"/>
                <w:sz w:val="26"/>
                <w:szCs w:val="26"/>
                <w:rtl/>
              </w:rPr>
            </w:pPr>
            <w:r w:rsidRPr="001924E8">
              <w:rPr>
                <w:rFonts w:ascii="Arial" w:hAnsi="Arial"/>
                <w:b/>
                <w:bCs/>
                <w:noProof w:val="0"/>
                <w:sz w:val="26"/>
                <w:szCs w:val="26"/>
                <w:rtl/>
              </w:rPr>
              <w:t>נגד</w:t>
            </w:r>
          </w:p>
          <w:p w:rsidR="002914D6" w:rsidRPr="001924E8" w:rsidRDefault="002914D6">
            <w:pPr>
              <w:rPr>
                <w:rFonts w:ascii="Arial" w:hAnsi="Arial"/>
                <w:b/>
                <w:bCs/>
                <w:noProof w:val="0"/>
                <w:sz w:val="26"/>
                <w:szCs w:val="26"/>
              </w:rPr>
            </w:pPr>
          </w:p>
        </w:tc>
      </w:tr>
      <w:tr w:rsidR="00F54C04">
        <w:trPr>
          <w:jc w:val="center"/>
        </w:trPr>
        <w:tc>
          <w:tcPr>
            <w:tcW w:w="3249" w:type="dxa"/>
            <w:gridSpan w:val="2"/>
          </w:tcPr>
          <w:p w:rsidR="002914D6" w:rsidRPr="001924E8" w:rsidRDefault="001924E8">
            <w:pPr>
              <w:rPr>
                <w:rFonts w:ascii="Arial" w:hAnsi="Arial"/>
                <w:b/>
                <w:bCs/>
                <w:noProof w:val="0"/>
                <w:sz w:val="26"/>
                <w:szCs w:val="26"/>
                <w:rtl/>
              </w:rPr>
            </w:pPr>
            <w:r w:rsidRPr="001924E8">
              <w:rPr>
                <w:rFonts w:ascii="Arial" w:hAnsi="Arial" w:hint="eastAsia"/>
                <w:b/>
                <w:bCs/>
                <w:noProof w:val="0"/>
                <w:sz w:val="26"/>
                <w:szCs w:val="26"/>
                <w:u w:val="single"/>
                <w:rtl/>
              </w:rPr>
              <w:t>הנתבעת</w:t>
            </w:r>
            <w:r w:rsidRPr="001924E8">
              <w:rPr>
                <w:rFonts w:ascii="Arial" w:hAnsi="Arial"/>
                <w:b/>
                <w:bCs/>
                <w:noProof w:val="0"/>
                <w:sz w:val="26"/>
                <w:szCs w:val="26"/>
                <w:rtl/>
              </w:rPr>
              <w:t>:</w:t>
            </w:r>
          </w:p>
          <w:p w:rsidR="002914D6" w:rsidRPr="001924E8" w:rsidRDefault="002914D6">
            <w:pPr>
              <w:rPr>
                <w:rFonts w:ascii="Arial" w:hAnsi="Arial"/>
                <w:b/>
                <w:bCs/>
                <w:noProof w:val="0"/>
                <w:sz w:val="26"/>
                <w:szCs w:val="26"/>
              </w:rPr>
            </w:pPr>
          </w:p>
        </w:tc>
        <w:tc>
          <w:tcPr>
            <w:tcW w:w="5571" w:type="dxa"/>
          </w:tcPr>
          <w:p w:rsidR="002914D6" w:rsidRPr="001924E8" w:rsidRDefault="00FD747E" w:rsidP="00BD5B6B">
            <w:pPr>
              <w:rPr>
                <w:rStyle w:val="ac"/>
                <w:b/>
                <w:bCs/>
                <w:color w:val="auto"/>
                <w:sz w:val="26"/>
                <w:szCs w:val="26"/>
                <w:rtl/>
              </w:rPr>
            </w:pPr>
            <w:r w:rsidRPr="004646B5">
              <w:rPr>
                <w:rStyle w:val="ac"/>
                <w:rFonts w:hint="eastAsia"/>
                <w:b/>
                <w:bCs/>
                <w:color w:val="auto"/>
                <w:sz w:val="26"/>
                <w:szCs w:val="26"/>
                <w:rtl/>
              </w:rPr>
              <w:t>האם</w:t>
            </w:r>
            <w:r w:rsidRPr="004646B5">
              <w:rPr>
                <w:rStyle w:val="ac"/>
                <w:b/>
                <w:bCs/>
                <w:color w:val="auto"/>
                <w:sz w:val="26"/>
                <w:szCs w:val="26"/>
                <w:rtl/>
              </w:rPr>
              <w:t xml:space="preserve"> </w:t>
            </w:r>
          </w:p>
          <w:p w:rsidR="001F6EC9" w:rsidRPr="001924E8" w:rsidRDefault="001924E8" w:rsidP="00BD5B6B">
            <w:pPr>
              <w:rPr>
                <w:b/>
                <w:bCs/>
                <w:noProof w:val="0"/>
                <w:sz w:val="26"/>
                <w:szCs w:val="26"/>
                <w:rtl/>
              </w:rPr>
            </w:pPr>
            <w:r w:rsidRPr="001924E8">
              <w:rPr>
                <w:rFonts w:hint="eastAsia"/>
                <w:b/>
                <w:bCs/>
                <w:noProof w:val="0"/>
                <w:sz w:val="26"/>
                <w:szCs w:val="26"/>
                <w:rtl/>
              </w:rPr>
              <w:t>ע</w:t>
            </w:r>
            <w:r w:rsidRPr="001924E8">
              <w:rPr>
                <w:b/>
                <w:bCs/>
                <w:noProof w:val="0"/>
                <w:sz w:val="26"/>
                <w:szCs w:val="26"/>
                <w:rtl/>
              </w:rPr>
              <w:t xml:space="preserve">"י </w:t>
            </w:r>
            <w:r w:rsidRPr="001924E8">
              <w:rPr>
                <w:rFonts w:hint="eastAsia"/>
                <w:b/>
                <w:bCs/>
                <w:noProof w:val="0"/>
                <w:sz w:val="26"/>
                <w:szCs w:val="26"/>
                <w:rtl/>
              </w:rPr>
              <w:t>ב</w:t>
            </w:r>
            <w:r w:rsidRPr="001924E8">
              <w:rPr>
                <w:b/>
                <w:bCs/>
                <w:noProof w:val="0"/>
                <w:sz w:val="26"/>
                <w:szCs w:val="26"/>
                <w:rtl/>
              </w:rPr>
              <w:t xml:space="preserve">"כ </w:t>
            </w:r>
            <w:r w:rsidRPr="001924E8">
              <w:rPr>
                <w:rFonts w:hint="eastAsia"/>
                <w:b/>
                <w:bCs/>
                <w:noProof w:val="0"/>
                <w:sz w:val="26"/>
                <w:szCs w:val="26"/>
                <w:rtl/>
              </w:rPr>
              <w:t>עו</w:t>
            </w:r>
            <w:r w:rsidRPr="001924E8">
              <w:rPr>
                <w:b/>
                <w:bCs/>
                <w:noProof w:val="0"/>
                <w:sz w:val="26"/>
                <w:szCs w:val="26"/>
                <w:rtl/>
              </w:rPr>
              <w:t xml:space="preserve">"ד </w:t>
            </w:r>
            <w:r w:rsidRPr="001924E8">
              <w:rPr>
                <w:rFonts w:hint="eastAsia"/>
                <w:b/>
                <w:bCs/>
                <w:noProof w:val="0"/>
                <w:sz w:val="26"/>
                <w:szCs w:val="26"/>
                <w:rtl/>
              </w:rPr>
              <w:t>גייזלר</w:t>
            </w:r>
            <w:r w:rsidRPr="001924E8">
              <w:rPr>
                <w:b/>
                <w:bCs/>
                <w:noProof w:val="0"/>
                <w:sz w:val="26"/>
                <w:szCs w:val="26"/>
                <w:rtl/>
              </w:rPr>
              <w:t xml:space="preserve"> </w:t>
            </w:r>
            <w:r w:rsidRPr="001924E8">
              <w:rPr>
                <w:rFonts w:hint="eastAsia"/>
                <w:b/>
                <w:bCs/>
                <w:noProof w:val="0"/>
                <w:sz w:val="26"/>
                <w:szCs w:val="26"/>
                <w:rtl/>
              </w:rPr>
              <w:t>ועו</w:t>
            </w:r>
            <w:r w:rsidRPr="001924E8">
              <w:rPr>
                <w:b/>
                <w:bCs/>
                <w:noProof w:val="0"/>
                <w:sz w:val="26"/>
                <w:szCs w:val="26"/>
                <w:rtl/>
              </w:rPr>
              <w:t xml:space="preserve">"ד </w:t>
            </w:r>
            <w:r w:rsidRPr="001924E8">
              <w:rPr>
                <w:rFonts w:hint="eastAsia"/>
                <w:b/>
                <w:bCs/>
                <w:noProof w:val="0"/>
                <w:sz w:val="26"/>
                <w:szCs w:val="26"/>
                <w:rtl/>
              </w:rPr>
              <w:t>טיטמן</w:t>
            </w:r>
          </w:p>
        </w:tc>
      </w:tr>
    </w:tbl>
    <w:p w:rsidR="002914D6" w:rsidRPr="001F6EC9" w:rsidRDefault="002914D6">
      <w:pPr>
        <w:rPr>
          <w:sz w:val="26"/>
          <w:szCs w:val="26"/>
        </w:rPr>
      </w:pPr>
    </w:p>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54C04">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1924E8">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1F6EC9" w:rsidRDefault="001924E8" w:rsidP="001F6EC9">
      <w:pPr>
        <w:pStyle w:val="ad"/>
        <w:numPr>
          <w:ilvl w:val="0"/>
          <w:numId w:val="1"/>
        </w:numPr>
        <w:spacing w:line="360" w:lineRule="auto"/>
        <w:ind w:left="567" w:hanging="567"/>
        <w:jc w:val="both"/>
        <w:rPr>
          <w:rFonts w:ascii="Arial" w:hAnsi="Arial"/>
          <w:noProof w:val="0"/>
        </w:rPr>
      </w:pPr>
      <w:r>
        <w:rPr>
          <w:rFonts w:ascii="Arial" w:hAnsi="Arial"/>
          <w:noProof w:val="0"/>
          <w:rtl/>
        </w:rPr>
        <w:t xml:space="preserve">לפניי שתי תביעות על פי חוק איסור לשון הרע שהגיש התובע כנגד הנתבעת לפיצוי ע"ס 100,000 ₪ בכל תביעה: </w:t>
      </w:r>
    </w:p>
    <w:p w:rsidR="001F6EC9" w:rsidRDefault="001924E8" w:rsidP="001F6EC9">
      <w:pPr>
        <w:pStyle w:val="ad"/>
        <w:spacing w:line="360" w:lineRule="auto"/>
        <w:ind w:left="567"/>
        <w:jc w:val="both"/>
        <w:rPr>
          <w:rFonts w:ascii="Arial" w:hAnsi="Arial"/>
          <w:noProof w:val="0"/>
        </w:rPr>
      </w:pPr>
      <w:r>
        <w:rPr>
          <w:rFonts w:ascii="Arial" w:hAnsi="Arial"/>
          <w:b/>
          <w:bCs/>
          <w:noProof w:val="0"/>
          <w:rtl/>
        </w:rPr>
        <w:t xml:space="preserve">תלה"מ 42034-12-21 </w:t>
      </w:r>
      <w:r>
        <w:rPr>
          <w:rFonts w:ascii="Arial" w:hAnsi="Arial"/>
          <w:noProof w:val="0"/>
          <w:rtl/>
        </w:rPr>
        <w:t xml:space="preserve">– תביעת התובע בשל תלונת שווא במשטרה שהגישה הנתבעת ביום 28.3.20 וכן בשל פנייתה למרכז לאלימות במשפחה ביום 25.5.20. </w:t>
      </w:r>
    </w:p>
    <w:p w:rsidR="001F6EC9" w:rsidRDefault="001924E8" w:rsidP="001F6EC9">
      <w:pPr>
        <w:pStyle w:val="ad"/>
        <w:spacing w:line="360" w:lineRule="auto"/>
        <w:ind w:left="567"/>
        <w:jc w:val="both"/>
        <w:rPr>
          <w:rFonts w:ascii="Arial" w:hAnsi="Arial"/>
          <w:noProof w:val="0"/>
          <w:rtl/>
        </w:rPr>
      </w:pPr>
      <w:r>
        <w:rPr>
          <w:rFonts w:ascii="Arial" w:hAnsi="Arial"/>
          <w:b/>
          <w:bCs/>
          <w:noProof w:val="0"/>
          <w:rtl/>
        </w:rPr>
        <w:t>תמ"ש 37960-01-23</w:t>
      </w:r>
      <w:r>
        <w:rPr>
          <w:rFonts w:ascii="Arial" w:hAnsi="Arial"/>
          <w:noProof w:val="0"/>
          <w:rtl/>
        </w:rPr>
        <w:t xml:space="preserve"> – תביעת התובע בשל תלונת שווא שהגישה הנתבעת ביום 18.7.20. </w:t>
      </w:r>
    </w:p>
    <w:p w:rsidR="001F6EC9" w:rsidRDefault="001F6EC9" w:rsidP="001F6EC9">
      <w:pPr>
        <w:pStyle w:val="ad"/>
        <w:spacing w:line="360" w:lineRule="auto"/>
        <w:ind w:left="567"/>
        <w:jc w:val="both"/>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Pr>
      </w:pPr>
      <w:r>
        <w:rPr>
          <w:rFonts w:ascii="Arial" w:hAnsi="Arial"/>
          <w:noProof w:val="0"/>
          <w:rtl/>
        </w:rPr>
        <w:t>יוער כי בכתב התביעה בשני התיקים עתר התובע לחיוב הנתבעת מכוח עוולות נוספות מפקודת הנזיקין (נגישה, רשלנות והפרת חובה חקוקה) בלא שפירט לעניין זה. בתצע"ר ובסיכומיו זנח התובע כליל טענות בגין עוולות אלו. אשר על כן במסגרת פסק הדין תדון ותוכרע העילה אך ורק בהתאם לחוק איסור לשון הרע.</w:t>
      </w:r>
      <w:r>
        <w:rPr>
          <w:rFonts w:ascii="Arial" w:hAnsi="Arial"/>
          <w:noProof w:val="0"/>
        </w:rPr>
        <w:t xml:space="preserve"> </w:t>
      </w:r>
      <w:r>
        <w:rPr>
          <w:rFonts w:ascii="Arial" w:hAnsi="Arial"/>
          <w:noProof w:val="0"/>
          <w:rtl/>
        </w:rPr>
        <w:t xml:space="preserve">  </w:t>
      </w:r>
    </w:p>
    <w:p w:rsidR="001F6EC9" w:rsidRDefault="001F6EC9" w:rsidP="001F6EC9">
      <w:pPr>
        <w:pStyle w:val="ad"/>
        <w:spacing w:line="360" w:lineRule="auto"/>
        <w:ind w:left="567"/>
        <w:jc w:val="both"/>
        <w:rPr>
          <w:rFonts w:ascii="Arial" w:hAnsi="Arial"/>
          <w:noProof w:val="0"/>
        </w:rPr>
      </w:pPr>
    </w:p>
    <w:p w:rsidR="001F6EC9" w:rsidRDefault="001924E8" w:rsidP="001F6EC9">
      <w:pPr>
        <w:spacing w:line="360" w:lineRule="auto"/>
        <w:jc w:val="both"/>
        <w:rPr>
          <w:rFonts w:ascii="Arial" w:hAnsi="Arial"/>
          <w:noProof w:val="0"/>
        </w:rPr>
      </w:pPr>
      <w:r>
        <w:rPr>
          <w:rFonts w:ascii="David" w:hAnsi="David"/>
          <w:b/>
          <w:bCs/>
          <w:sz w:val="28"/>
          <w:szCs w:val="28"/>
          <w:u w:val="single"/>
          <w:rtl/>
        </w:rPr>
        <w:t>רקע עובדתי וההליכים המשפטיים</w:t>
      </w:r>
    </w:p>
    <w:p w:rsidR="001F6EC9" w:rsidRDefault="001F6EC9" w:rsidP="001F6EC9">
      <w:pPr>
        <w:pStyle w:val="ad"/>
        <w:spacing w:line="360" w:lineRule="auto"/>
        <w:ind w:left="567"/>
        <w:jc w:val="both"/>
        <w:rPr>
          <w:rFonts w:ascii="Arial" w:hAnsi="Arial"/>
          <w:noProof w:val="0"/>
          <w:rtl/>
        </w:rPr>
      </w:pPr>
    </w:p>
    <w:p w:rsidR="001F6EC9" w:rsidRDefault="001924E8" w:rsidP="001F6EC9">
      <w:pPr>
        <w:pStyle w:val="ad"/>
        <w:numPr>
          <w:ilvl w:val="0"/>
          <w:numId w:val="1"/>
        </w:numPr>
        <w:spacing w:line="360" w:lineRule="auto"/>
        <w:ind w:left="567" w:hanging="567"/>
        <w:jc w:val="both"/>
        <w:rPr>
          <w:rFonts w:ascii="Arial" w:hAnsi="Arial"/>
          <w:noProof w:val="0"/>
        </w:rPr>
      </w:pPr>
      <w:r>
        <w:rPr>
          <w:rFonts w:ascii="Arial" w:hAnsi="Arial"/>
          <w:noProof w:val="0"/>
          <w:rtl/>
        </w:rPr>
        <w:t xml:space="preserve">הצדדים נישאו זל"ז בחודש 6/2017 ולהם בת משותפת קטינה ילידת 9/2019. </w:t>
      </w:r>
    </w:p>
    <w:p w:rsidR="001F6EC9" w:rsidRDefault="001F6EC9" w:rsidP="001F6EC9">
      <w:pPr>
        <w:pStyle w:val="ad"/>
        <w:spacing w:line="360" w:lineRule="auto"/>
        <w:ind w:left="567"/>
        <w:jc w:val="both"/>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Pr>
      </w:pPr>
      <w:r>
        <w:rPr>
          <w:rFonts w:ascii="Arial" w:hAnsi="Arial"/>
          <w:noProof w:val="0"/>
          <w:rtl/>
        </w:rPr>
        <w:t xml:space="preserve">יחסי הצדדים עלו על שרטון בסמוך לאחר לידת הקטינה והם מנהלים הליכים בבית הדין הרבני. </w:t>
      </w:r>
    </w:p>
    <w:p w:rsidR="001F6EC9" w:rsidRDefault="001F6EC9" w:rsidP="001F6EC9">
      <w:pPr>
        <w:pStyle w:val="ad"/>
        <w:spacing w:line="360" w:lineRule="auto"/>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tl/>
        </w:rPr>
      </w:pPr>
      <w:r>
        <w:rPr>
          <w:rFonts w:ascii="Arial" w:hAnsi="Arial"/>
          <w:noProof w:val="0"/>
          <w:rtl/>
        </w:rPr>
        <w:t xml:space="preserve">ביום 27.3.20 בעקבות ויכוח בין הצדדים עזבה הנתבעת ביחד עם בתם הקטינה של הצדדים את דירת המגורים המשותפת. </w:t>
      </w:r>
    </w:p>
    <w:p w:rsidR="001F6EC9" w:rsidRDefault="001F6EC9" w:rsidP="001F6EC9">
      <w:pPr>
        <w:pStyle w:val="ad"/>
        <w:spacing w:line="360" w:lineRule="auto"/>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tl/>
        </w:rPr>
      </w:pPr>
      <w:r>
        <w:rPr>
          <w:rFonts w:ascii="Arial" w:hAnsi="Arial"/>
          <w:noProof w:val="0"/>
          <w:rtl/>
        </w:rPr>
        <w:lastRenderedPageBreak/>
        <w:t>ביום 28.3.20 הגישה הנתבעת תלונה במשטרה כנגד התובע לאחר שהגיע לבית הוריה שם שהתה עם הקטינה (להלן: "</w:t>
      </w:r>
      <w:r>
        <w:rPr>
          <w:rFonts w:ascii="Arial" w:hAnsi="Arial"/>
          <w:b/>
          <w:bCs/>
          <w:noProof w:val="0"/>
          <w:rtl/>
        </w:rPr>
        <w:t>התלונה הראשונה</w:t>
      </w:r>
      <w:r>
        <w:rPr>
          <w:rFonts w:ascii="Arial" w:hAnsi="Arial"/>
          <w:noProof w:val="0"/>
          <w:rtl/>
        </w:rPr>
        <w:t xml:space="preserve">"). </w:t>
      </w:r>
    </w:p>
    <w:p w:rsidR="001F6EC9" w:rsidRDefault="001F6EC9" w:rsidP="001F6EC9">
      <w:pPr>
        <w:pStyle w:val="ad"/>
        <w:spacing w:line="360" w:lineRule="auto"/>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tl/>
        </w:rPr>
      </w:pPr>
      <w:r>
        <w:rPr>
          <w:rFonts w:ascii="Arial" w:hAnsi="Arial"/>
          <w:noProof w:val="0"/>
          <w:rtl/>
        </w:rPr>
        <w:t>ביום 30.3.20 התיק נסגר מחוסר ראיות בהתאם להודעת המשטרה אשר צורפה לתצהירי שני הצדדים.</w:t>
      </w:r>
    </w:p>
    <w:p w:rsidR="001F6EC9" w:rsidRDefault="001F6EC9" w:rsidP="001F6EC9">
      <w:pPr>
        <w:pStyle w:val="ad"/>
        <w:spacing w:line="360" w:lineRule="auto"/>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tl/>
        </w:rPr>
      </w:pPr>
      <w:r>
        <w:rPr>
          <w:rFonts w:ascii="Arial" w:hAnsi="Arial"/>
          <w:noProof w:val="0"/>
          <w:rtl/>
        </w:rPr>
        <w:t xml:space="preserve">ביום 25.5.20 פנתה הנתבעת למרכז לאלימות במשפחה בעיריית </w:t>
      </w:r>
      <w:r w:rsidR="00AA2474">
        <w:rPr>
          <w:rFonts w:ascii="Arial" w:hAnsi="Arial" w:hint="cs"/>
          <w:noProof w:val="0"/>
          <w:rtl/>
        </w:rPr>
        <w:t>***</w:t>
      </w:r>
      <w:r>
        <w:rPr>
          <w:rFonts w:ascii="Arial" w:hAnsi="Arial"/>
          <w:noProof w:val="0"/>
          <w:rtl/>
        </w:rPr>
        <w:t xml:space="preserve"> (להלן: "</w:t>
      </w:r>
      <w:r>
        <w:rPr>
          <w:rFonts w:ascii="Arial" w:hAnsi="Arial"/>
          <w:b/>
          <w:bCs/>
          <w:noProof w:val="0"/>
          <w:rtl/>
        </w:rPr>
        <w:t>הפניה למרכז לאלימות במשפחה</w:t>
      </w:r>
      <w:r>
        <w:rPr>
          <w:rFonts w:ascii="Arial" w:hAnsi="Arial"/>
          <w:noProof w:val="0"/>
          <w:rtl/>
        </w:rPr>
        <w:t xml:space="preserve">"). </w:t>
      </w:r>
    </w:p>
    <w:p w:rsidR="001F6EC9" w:rsidRDefault="001F6EC9" w:rsidP="001F6EC9">
      <w:pPr>
        <w:pStyle w:val="ad"/>
        <w:spacing w:line="360" w:lineRule="auto"/>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tl/>
        </w:rPr>
      </w:pPr>
      <w:r>
        <w:rPr>
          <w:rFonts w:ascii="Arial" w:hAnsi="Arial"/>
          <w:noProof w:val="0"/>
          <w:rtl/>
        </w:rPr>
        <w:t>ביום 18.7.20 הגישה הנתבעת תלונה נוספת במשטרה כנגד התובע לאחר תקרית שאירעה בין הצדדים בעת ששהו עם הקטינה בגינה ציבורית (להלן: "</w:t>
      </w:r>
      <w:r>
        <w:rPr>
          <w:rFonts w:ascii="Arial" w:hAnsi="Arial"/>
          <w:b/>
          <w:bCs/>
          <w:noProof w:val="0"/>
          <w:rtl/>
        </w:rPr>
        <w:t>התלונה השניה</w:t>
      </w:r>
      <w:r>
        <w:rPr>
          <w:rFonts w:ascii="Arial" w:hAnsi="Arial"/>
          <w:noProof w:val="0"/>
          <w:rtl/>
        </w:rPr>
        <w:t>", ושלושתן ביחד להלן: "</w:t>
      </w:r>
      <w:r>
        <w:rPr>
          <w:rFonts w:ascii="Arial" w:hAnsi="Arial"/>
          <w:b/>
          <w:bCs/>
          <w:noProof w:val="0"/>
          <w:rtl/>
        </w:rPr>
        <w:t>התלונות</w:t>
      </w:r>
      <w:r>
        <w:rPr>
          <w:rFonts w:ascii="Arial" w:hAnsi="Arial"/>
          <w:noProof w:val="0"/>
          <w:rtl/>
        </w:rPr>
        <w:t xml:space="preserve">"). </w:t>
      </w:r>
    </w:p>
    <w:p w:rsidR="001F6EC9" w:rsidRDefault="001F6EC9" w:rsidP="001F6EC9">
      <w:pPr>
        <w:pStyle w:val="ad"/>
        <w:spacing w:line="360" w:lineRule="auto"/>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tl/>
        </w:rPr>
      </w:pPr>
      <w:r>
        <w:rPr>
          <w:rFonts w:ascii="Arial" w:hAnsi="Arial"/>
          <w:noProof w:val="0"/>
          <w:rtl/>
        </w:rPr>
        <w:t>ביום 20.7.20 התיק נסגר בשל היעדר תשתית ראייתית לקיומה של אשמה פלילית בהתאם להודעת המשטרה אשר צורפה לתצהירי שני הצדדים.</w:t>
      </w:r>
    </w:p>
    <w:p w:rsidR="001F6EC9" w:rsidRDefault="001F6EC9" w:rsidP="001F6EC9">
      <w:pPr>
        <w:pStyle w:val="ad"/>
        <w:spacing w:line="360" w:lineRule="auto"/>
        <w:rPr>
          <w:rFonts w:ascii="Arial" w:hAnsi="Arial"/>
          <w:noProof w:val="0"/>
        </w:rPr>
      </w:pPr>
    </w:p>
    <w:p w:rsidR="001F6EC9" w:rsidRDefault="001924E8" w:rsidP="001F6EC9">
      <w:pPr>
        <w:pStyle w:val="ad"/>
        <w:spacing w:line="360" w:lineRule="auto"/>
        <w:ind w:left="567"/>
        <w:jc w:val="both"/>
        <w:rPr>
          <w:rFonts w:ascii="Arial" w:hAnsi="Arial"/>
          <w:noProof w:val="0"/>
          <w:rtl/>
        </w:rPr>
      </w:pPr>
      <w:r>
        <w:rPr>
          <w:rFonts w:ascii="Arial" w:hAnsi="Arial"/>
          <w:noProof w:val="0"/>
          <w:u w:val="single"/>
          <w:rtl/>
        </w:rPr>
        <w:t>כתב התביעה בתלה"מ 42034-12-21</w:t>
      </w:r>
      <w:r>
        <w:rPr>
          <w:rFonts w:ascii="Arial" w:hAnsi="Arial"/>
          <w:noProof w:val="0"/>
          <w:rtl/>
        </w:rPr>
        <w:t xml:space="preserve"> </w:t>
      </w:r>
    </w:p>
    <w:p w:rsidR="001F6EC9" w:rsidRDefault="001F6EC9" w:rsidP="001F6EC9">
      <w:pPr>
        <w:pStyle w:val="ad"/>
        <w:spacing w:line="360" w:lineRule="auto"/>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tl/>
        </w:rPr>
      </w:pPr>
      <w:r>
        <w:rPr>
          <w:rFonts w:ascii="Arial" w:hAnsi="Arial"/>
          <w:noProof w:val="0"/>
          <w:rtl/>
        </w:rPr>
        <w:t xml:space="preserve">ביום 20.12.21 הגיש התובע כתב תביעה וביום 22.9.22 הגיש כתב תביעה מתוקן במסגרתו טען כי </w:t>
      </w:r>
      <w:r>
        <w:rPr>
          <w:rFonts w:ascii="Arial" w:hAnsi="Arial"/>
          <w:b/>
          <w:bCs/>
          <w:noProof w:val="0"/>
          <w:rtl/>
        </w:rPr>
        <w:t>התלונה הראשונה והפניה למרכז לאלימות במשפחה</w:t>
      </w:r>
      <w:r>
        <w:rPr>
          <w:rFonts w:ascii="Arial" w:hAnsi="Arial"/>
          <w:noProof w:val="0"/>
          <w:rtl/>
        </w:rPr>
        <w:t xml:space="preserve"> הינן תלונות שווא המהוות פרסום לשון הרע ועתר לחיוב הנתבעת לפיצוי בסך של 100,000 ₪ (להלן: "</w:t>
      </w:r>
      <w:r>
        <w:rPr>
          <w:rFonts w:ascii="Arial" w:hAnsi="Arial"/>
          <w:b/>
          <w:bCs/>
          <w:noProof w:val="0"/>
          <w:rtl/>
        </w:rPr>
        <w:t>התביעה הראשונה</w:t>
      </w:r>
      <w:r>
        <w:rPr>
          <w:rFonts w:ascii="Arial" w:hAnsi="Arial"/>
          <w:noProof w:val="0"/>
          <w:rtl/>
        </w:rPr>
        <w:t xml:space="preserve">"). הנתבעת הגישה כתב הגנה וכתב הגנה מתוקן. </w:t>
      </w:r>
    </w:p>
    <w:p w:rsidR="001F6EC9" w:rsidRDefault="001F6EC9" w:rsidP="001F6EC9">
      <w:pPr>
        <w:pStyle w:val="ad"/>
        <w:spacing w:line="360" w:lineRule="auto"/>
        <w:ind w:left="567"/>
        <w:jc w:val="both"/>
        <w:rPr>
          <w:rFonts w:ascii="Arial" w:hAnsi="Arial"/>
          <w:noProof w:val="0"/>
        </w:rPr>
      </w:pPr>
    </w:p>
    <w:p w:rsidR="001F6EC9" w:rsidRDefault="001924E8" w:rsidP="001F6EC9">
      <w:pPr>
        <w:pStyle w:val="ad"/>
        <w:spacing w:line="360" w:lineRule="auto"/>
        <w:ind w:left="567"/>
        <w:jc w:val="both"/>
        <w:rPr>
          <w:rFonts w:ascii="Arial" w:hAnsi="Arial"/>
          <w:noProof w:val="0"/>
        </w:rPr>
      </w:pPr>
      <w:r>
        <w:rPr>
          <w:rFonts w:ascii="Arial" w:hAnsi="Arial"/>
          <w:noProof w:val="0"/>
          <w:u w:val="single"/>
          <w:rtl/>
        </w:rPr>
        <w:t>כתב התביעה בתמ"ש 37960-01-23</w:t>
      </w:r>
    </w:p>
    <w:p w:rsidR="001F6EC9" w:rsidRDefault="001F6EC9" w:rsidP="001F6EC9">
      <w:pPr>
        <w:pStyle w:val="ad"/>
        <w:spacing w:line="360" w:lineRule="auto"/>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tl/>
        </w:rPr>
      </w:pPr>
      <w:r>
        <w:rPr>
          <w:rFonts w:ascii="Arial" w:hAnsi="Arial"/>
          <w:noProof w:val="0"/>
          <w:rtl/>
        </w:rPr>
        <w:t xml:space="preserve">ביום 16.1.23 הגיש התובע כתב תביעה במסגרתו טען כי </w:t>
      </w:r>
      <w:r>
        <w:rPr>
          <w:rFonts w:ascii="Arial" w:hAnsi="Arial"/>
          <w:b/>
          <w:bCs/>
          <w:noProof w:val="0"/>
          <w:rtl/>
        </w:rPr>
        <w:t>התלונה השניה</w:t>
      </w:r>
      <w:r>
        <w:rPr>
          <w:rFonts w:ascii="Arial" w:hAnsi="Arial"/>
          <w:noProof w:val="0"/>
          <w:rtl/>
        </w:rPr>
        <w:t xml:space="preserve"> הינו תלונת שווא המהווה פרסום לשון הרע ועתר לחיוב הנתבעת לפיצוי בסך של 100,000 ₪ (להלן:" </w:t>
      </w:r>
      <w:r>
        <w:rPr>
          <w:rFonts w:ascii="Arial" w:hAnsi="Arial"/>
          <w:b/>
          <w:bCs/>
          <w:noProof w:val="0"/>
          <w:rtl/>
        </w:rPr>
        <w:t>התביעה השניה</w:t>
      </w:r>
      <w:r>
        <w:rPr>
          <w:rFonts w:ascii="Arial" w:hAnsi="Arial"/>
          <w:noProof w:val="0"/>
          <w:rtl/>
        </w:rPr>
        <w:t xml:space="preserve">"). הנתבעת הגישה כתב הגנה.  </w:t>
      </w:r>
    </w:p>
    <w:p w:rsidR="001F6EC9" w:rsidRDefault="001F6EC9" w:rsidP="001F6EC9">
      <w:pPr>
        <w:pStyle w:val="ad"/>
        <w:spacing w:line="360" w:lineRule="auto"/>
        <w:ind w:left="567"/>
        <w:jc w:val="both"/>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Pr>
      </w:pPr>
      <w:r>
        <w:rPr>
          <w:rFonts w:ascii="Arial" w:hAnsi="Arial"/>
          <w:noProof w:val="0"/>
          <w:rtl/>
        </w:rPr>
        <w:t xml:space="preserve">שני כתבי התביעה שהגיש התובע זהים למעט שוני הכרחי בחלק העובדות. כמו כן בתלה"מ 37960-01-23 עתר התובע לסעד נוסף למינוי מומחה להערכת נזקים שנגרמו לו. אולם לאור החלטתי מיום 18.5.23 בה דחיתי סעד זה מאחר ומדובר בתביעה לפי חוק איסור לשון הרע ולא בתביעה נזיקית, ישנה זהות גם בסעדים להם עתר האב בשתי התביעות. </w:t>
      </w:r>
    </w:p>
    <w:p w:rsidR="001F6EC9" w:rsidRDefault="001F6EC9" w:rsidP="001F6EC9">
      <w:pPr>
        <w:pStyle w:val="ad"/>
        <w:spacing w:line="360" w:lineRule="auto"/>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tl/>
        </w:rPr>
      </w:pPr>
      <w:r>
        <w:rPr>
          <w:rFonts w:ascii="Arial" w:hAnsi="Arial"/>
          <w:noProof w:val="0"/>
          <w:rtl/>
        </w:rPr>
        <w:t xml:space="preserve">בשני התיקים התקיימו שלושה דיוני קד"מ ושני דיוני הוכחות במאוחד, במסגרתם נחקרו עדי הצדדים. הוגשו סיכומים בכתב ובהתאם ניתן פסק דין.  </w:t>
      </w:r>
    </w:p>
    <w:p w:rsidR="001F6EC9" w:rsidRDefault="001F6EC9" w:rsidP="001F6EC9">
      <w:pPr>
        <w:spacing w:line="360" w:lineRule="auto"/>
        <w:rPr>
          <w:color w:val="FF0000"/>
        </w:rPr>
      </w:pPr>
    </w:p>
    <w:p w:rsidR="001F6EC9" w:rsidRDefault="001924E8" w:rsidP="001F6EC9">
      <w:pPr>
        <w:spacing w:line="360" w:lineRule="auto"/>
        <w:rPr>
          <w:b/>
          <w:bCs/>
          <w:sz w:val="28"/>
          <w:szCs w:val="28"/>
          <w:u w:val="single"/>
          <w:rtl/>
        </w:rPr>
      </w:pPr>
      <w:r>
        <w:rPr>
          <w:b/>
          <w:bCs/>
          <w:sz w:val="28"/>
          <w:szCs w:val="28"/>
          <w:u w:val="single"/>
          <w:rtl/>
        </w:rPr>
        <w:t xml:space="preserve">תמצית טענות הצדדים </w:t>
      </w:r>
    </w:p>
    <w:p w:rsidR="001F6EC9" w:rsidRDefault="001F6EC9" w:rsidP="001F6EC9">
      <w:pPr>
        <w:spacing w:line="360" w:lineRule="auto"/>
        <w:rPr>
          <w:b/>
          <w:bCs/>
          <w:sz w:val="28"/>
          <w:szCs w:val="28"/>
          <w:u w:val="single"/>
          <w:rtl/>
        </w:rPr>
      </w:pPr>
    </w:p>
    <w:p w:rsidR="001F6EC9" w:rsidRDefault="001924E8" w:rsidP="001F6EC9">
      <w:pPr>
        <w:spacing w:line="360" w:lineRule="auto"/>
        <w:rPr>
          <w:u w:val="single"/>
          <w:rtl/>
        </w:rPr>
      </w:pPr>
      <w:r>
        <w:rPr>
          <w:u w:val="single"/>
          <w:rtl/>
        </w:rPr>
        <w:t>תמצית טענות התובע</w:t>
      </w:r>
    </w:p>
    <w:p w:rsidR="001F6EC9" w:rsidRDefault="001924E8" w:rsidP="001F6EC9">
      <w:pPr>
        <w:pStyle w:val="ad"/>
        <w:numPr>
          <w:ilvl w:val="0"/>
          <w:numId w:val="1"/>
        </w:numPr>
        <w:spacing w:line="360" w:lineRule="auto"/>
        <w:ind w:left="567" w:hanging="567"/>
        <w:jc w:val="both"/>
        <w:rPr>
          <w:rFonts w:ascii="Arial" w:hAnsi="Arial"/>
          <w:noProof w:val="0"/>
        </w:rPr>
      </w:pPr>
      <w:r>
        <w:rPr>
          <w:rFonts w:ascii="Arial" w:hAnsi="Arial"/>
          <w:b/>
          <w:bCs/>
          <w:noProof w:val="0"/>
          <w:rtl/>
        </w:rPr>
        <w:t>לטענת התובע</w:t>
      </w:r>
      <w:r>
        <w:rPr>
          <w:rFonts w:ascii="Arial" w:hAnsi="Arial"/>
          <w:noProof w:val="0"/>
          <w:rtl/>
        </w:rPr>
        <w:t xml:space="preserve"> התלונות שהגישה הנתבעת (ובכלל זה פניה למרכז לאלימות במשפחה) בגין טענות לאלימות פיזית מילולית ונפשית מצד התובע, הינן תלונות שווא המהוות פרסום לשון הרע ובהתאם לחוק איסור לשון הרע יש לחייב בגינן את הנתבעת לפצותו בסך של 100,000 ₪ בכ"א מהתביעות. </w:t>
      </w:r>
    </w:p>
    <w:p w:rsidR="001F6EC9" w:rsidRDefault="001F6EC9" w:rsidP="001F6EC9">
      <w:pPr>
        <w:pStyle w:val="ad"/>
        <w:spacing w:line="360" w:lineRule="auto"/>
        <w:ind w:left="567"/>
        <w:jc w:val="both"/>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Pr>
      </w:pPr>
      <w:r>
        <w:rPr>
          <w:rFonts w:ascii="Arial" w:hAnsi="Arial"/>
          <w:noProof w:val="0"/>
          <w:rtl/>
        </w:rPr>
        <w:t xml:space="preserve">לטענת התובע כל התלונות מבוססות על שקרים והכפשות כנגדו בגין דברים שלא אירעו מעולם והוגשו על ידי הנתבעת בחוסר תום לב ובזדון במטרה לפגוע בו באמצעות הצגתו כאדם אלים. זאת על מנת להשפיע על זמני השהות של התובע עם בתם של הצדדים וכן על מנת לזכות ביתרון בהליכים נוספים המתנהלים בין הצדדים בבית הדין הרבני. </w:t>
      </w:r>
    </w:p>
    <w:p w:rsidR="001F6EC9" w:rsidRDefault="001F6EC9" w:rsidP="001F6EC9">
      <w:pPr>
        <w:pStyle w:val="ad"/>
        <w:spacing w:line="360" w:lineRule="auto"/>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tl/>
        </w:rPr>
      </w:pPr>
      <w:r>
        <w:rPr>
          <w:rFonts w:ascii="Arial" w:hAnsi="Arial"/>
          <w:noProof w:val="0"/>
          <w:rtl/>
        </w:rPr>
        <w:t xml:space="preserve">לגבי התלונה השנייה טען התובע כי האירוע שבגינו הוגשה הינו פרובוקציה יזומה מצד הנתבעת אשר קטעה במכוון מפגש שלו עם הקטינה בגינה ציבורית גרמה לו תסכול וכאב תוך שהיא מקליטה את האירוע בכוונה להגיש תלונה למשטרה. לטענת התובע מחקירת עדי התובעת עולה כי לא הייתה הצדקה בהגשת התלונה בהיעדר איום מצד התובע וזאת לצד ספק לגבי נוכחותם הנטענת באירוע.   </w:t>
      </w:r>
    </w:p>
    <w:p w:rsidR="001F6EC9" w:rsidRDefault="001F6EC9" w:rsidP="001F6EC9">
      <w:pPr>
        <w:pStyle w:val="ad"/>
        <w:spacing w:line="360" w:lineRule="auto"/>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tl/>
        </w:rPr>
      </w:pPr>
      <w:r>
        <w:rPr>
          <w:rFonts w:ascii="Arial" w:hAnsi="Arial"/>
          <w:noProof w:val="0"/>
          <w:rtl/>
        </w:rPr>
        <w:t xml:space="preserve">לטענת התובע לנתבעת לא עומדת הגנת תום הלב בהתאם לסעיף 15(8) לחוק איסור לשון הרע שעניינו הגשת תלונות לרשות מוסמכת. התלונות הוגשו ע"י הנתבעת בחוסר תום לב הן אובייקטיבי זאת נוכח סגירת התלונות ע"י המשטרה והן סובייקטיבי כפי שעולה מחקירות הנתבעת ועדיה ומחקירת העו"ס בהן הוכח כי לא היו כלל איומים כלפיה מצד התובע וכי הנתבעת עצמה לא האמינה באמיתות תלונותיה וידעה כי הן אינן אמת. </w:t>
      </w:r>
    </w:p>
    <w:p w:rsidR="001F6EC9" w:rsidRDefault="001F6EC9" w:rsidP="001F6EC9">
      <w:pPr>
        <w:pStyle w:val="ad"/>
        <w:spacing w:line="360" w:lineRule="auto"/>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tl/>
        </w:rPr>
      </w:pPr>
      <w:r>
        <w:rPr>
          <w:rFonts w:ascii="Arial" w:hAnsi="Arial"/>
          <w:noProof w:val="0"/>
          <w:rtl/>
        </w:rPr>
        <w:t xml:space="preserve">לטענת התובע בשל תלונות השווא של הנתבעת נגרמו לו נזקים ממוניים של עשרות אלפי שקלים בשל בדיקת מסוגלות הורית ודו"ח פוליגרף שנאלץ לעבור וכן נזקים לא ממוניים של פגיעה בשמו הטוב וכן הפסד זמן יקר עם הקטינה. </w:t>
      </w:r>
    </w:p>
    <w:p w:rsidR="001F6EC9" w:rsidRDefault="001F6EC9" w:rsidP="001F6EC9">
      <w:pPr>
        <w:pStyle w:val="ad"/>
        <w:rPr>
          <w:rFonts w:ascii="Arial" w:hAnsi="Arial"/>
          <w:noProof w:val="0"/>
        </w:rPr>
      </w:pPr>
    </w:p>
    <w:p w:rsidR="001F6EC9" w:rsidRDefault="001924E8" w:rsidP="001F6EC9">
      <w:pPr>
        <w:pStyle w:val="ad"/>
        <w:spacing w:line="360" w:lineRule="auto"/>
        <w:ind w:left="0"/>
        <w:rPr>
          <w:u w:val="single"/>
          <w:rtl/>
        </w:rPr>
      </w:pPr>
      <w:r>
        <w:rPr>
          <w:u w:val="single"/>
          <w:rtl/>
        </w:rPr>
        <w:lastRenderedPageBreak/>
        <w:t>תמצית טענות הנתבעת</w:t>
      </w:r>
    </w:p>
    <w:p w:rsidR="001F6EC9" w:rsidRDefault="001924E8" w:rsidP="001F6EC9">
      <w:pPr>
        <w:pStyle w:val="ad"/>
        <w:numPr>
          <w:ilvl w:val="0"/>
          <w:numId w:val="1"/>
        </w:numPr>
        <w:spacing w:line="360" w:lineRule="auto"/>
        <w:ind w:left="567" w:hanging="567"/>
        <w:jc w:val="both"/>
        <w:rPr>
          <w:rFonts w:ascii="Arial" w:hAnsi="Arial"/>
          <w:noProof w:val="0"/>
        </w:rPr>
      </w:pPr>
      <w:r>
        <w:rPr>
          <w:rFonts w:ascii="Arial" w:hAnsi="Arial"/>
          <w:b/>
          <w:bCs/>
          <w:noProof w:val="0"/>
          <w:rtl/>
        </w:rPr>
        <w:t>הנתבעת</w:t>
      </w:r>
      <w:r>
        <w:rPr>
          <w:rFonts w:ascii="Arial" w:hAnsi="Arial"/>
          <w:noProof w:val="0"/>
          <w:rtl/>
        </w:rPr>
        <w:t xml:space="preserve"> עותרת לדחיית שתי התובענות וחיוב הנתבע בהוצאות משמעותיות. </w:t>
      </w:r>
      <w:r>
        <w:rPr>
          <w:rFonts w:ascii="Arial" w:hAnsi="Arial"/>
          <w:b/>
          <w:bCs/>
          <w:noProof w:val="0"/>
          <w:rtl/>
        </w:rPr>
        <w:t>לטענת הנתבעת</w:t>
      </w:r>
      <w:r>
        <w:rPr>
          <w:rFonts w:ascii="Arial" w:hAnsi="Arial"/>
          <w:noProof w:val="0"/>
          <w:rtl/>
        </w:rPr>
        <w:t xml:space="preserve"> חלה עליה הגנת תום הלב בהתאם לסעיף 15(8) לחוק איסור לשון הרע. היא הגישה את התלונות (ובכלל זה כאמור הפניה למרכז לאלימות במשפחה) בשל חשש כן ואמיתי מהתובע לאור התנהגותו האלימה כלפיה. לטענת הנתבעת מצבו הנפשי של התובע לקוי ומעורר חשש וזאת בהתאם לתסקיר מסוכנות ומסמכים רפואיים שצירפה. </w:t>
      </w:r>
    </w:p>
    <w:p w:rsidR="001F6EC9" w:rsidRDefault="001F6EC9" w:rsidP="001F6EC9">
      <w:pPr>
        <w:pStyle w:val="ad"/>
        <w:spacing w:line="360" w:lineRule="auto"/>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tl/>
        </w:rPr>
      </w:pPr>
      <w:r>
        <w:rPr>
          <w:rFonts w:ascii="Arial" w:hAnsi="Arial"/>
          <w:noProof w:val="0"/>
          <w:rtl/>
        </w:rPr>
        <w:t xml:space="preserve">לטענת הנתבעת גרסתה לגבי אלימות התובע כלפיה, חששותיה האמיתיים מהתובע ואמיתות תלונותיה נתמכת בדו"חות החקירה של המשטרה וכן בחקירת העו"ס, אימה והעדים אשר נכחו באירוע שבגינו הוגשה התלונה השניה וכן בדברי התובע עצמו בחקירתו. </w:t>
      </w:r>
    </w:p>
    <w:p w:rsidR="001F6EC9" w:rsidRDefault="001F6EC9" w:rsidP="001F6EC9">
      <w:pPr>
        <w:pStyle w:val="ad"/>
        <w:spacing w:line="360" w:lineRule="auto"/>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tl/>
        </w:rPr>
      </w:pPr>
      <w:r>
        <w:rPr>
          <w:rFonts w:ascii="Arial" w:hAnsi="Arial"/>
          <w:noProof w:val="0"/>
          <w:rtl/>
        </w:rPr>
        <w:t xml:space="preserve">לטענת הנתבעת לתובע לא נגרם נזק כתוצאה מהתלונות ומכל מקום לא הוכיח נזק כאמור. </w:t>
      </w:r>
    </w:p>
    <w:p w:rsidR="001F6EC9" w:rsidRDefault="001F6EC9" w:rsidP="001F6EC9">
      <w:pPr>
        <w:pStyle w:val="ad"/>
        <w:spacing w:line="360" w:lineRule="auto"/>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tl/>
        </w:rPr>
      </w:pPr>
      <w:r>
        <w:rPr>
          <w:rFonts w:ascii="Arial" w:hAnsi="Arial"/>
          <w:noProof w:val="0"/>
          <w:rtl/>
        </w:rPr>
        <w:t xml:space="preserve">לטענת הנתבעת, הדברים שאמרה במרכז לאלימות במשפחה וכן דו"ח המסוכנות אשר נערך ע"י המרכז אינם מהווים פרסום לפי חוק איסור לשון הרע מהטעם שחלים עליהם חוקי החיסיון ולא ניתן להגיש תביעת לשון הרע בגינם וכי היעתרות לתביעה תפגע באינטרס ציבורי לאפשר לנשים נפגעות אלימות לפנות למרכז ללא חשש מתביעה שתוגש נגדן. לטענת הנתבעת דו"ח המסוכנות נערך בהתאם לנוהלי ופרמטרים שנקבעו ע"י משרד הרווחה וגם מטעם זה יש לדחות את התביעה. </w:t>
      </w:r>
    </w:p>
    <w:p w:rsidR="001F6EC9" w:rsidRDefault="001F6EC9" w:rsidP="001F6EC9">
      <w:pPr>
        <w:spacing w:line="360" w:lineRule="auto"/>
        <w:jc w:val="both"/>
        <w:rPr>
          <w:rFonts w:ascii="Arial" w:hAnsi="Arial"/>
          <w:noProof w:val="0"/>
        </w:rPr>
      </w:pPr>
    </w:p>
    <w:p w:rsidR="001F6EC9" w:rsidRDefault="001924E8" w:rsidP="001F6EC9">
      <w:pPr>
        <w:spacing w:line="360" w:lineRule="auto"/>
        <w:jc w:val="both"/>
        <w:rPr>
          <w:rFonts w:ascii="Arial" w:hAnsi="Arial"/>
          <w:b/>
          <w:bCs/>
          <w:noProof w:val="0"/>
          <w:sz w:val="28"/>
          <w:szCs w:val="28"/>
          <w:u w:val="single"/>
          <w:rtl/>
        </w:rPr>
      </w:pPr>
      <w:r>
        <w:rPr>
          <w:rFonts w:ascii="Arial" w:hAnsi="Arial"/>
          <w:b/>
          <w:bCs/>
          <w:noProof w:val="0"/>
          <w:sz w:val="28"/>
          <w:szCs w:val="28"/>
          <w:u w:val="single"/>
          <w:rtl/>
        </w:rPr>
        <w:t xml:space="preserve">דיון והכרעה </w:t>
      </w:r>
    </w:p>
    <w:p w:rsidR="001F6EC9" w:rsidRDefault="001F6EC9" w:rsidP="001F6EC9">
      <w:pPr>
        <w:pStyle w:val="ad"/>
        <w:spacing w:line="360" w:lineRule="auto"/>
        <w:ind w:left="567"/>
        <w:jc w:val="both"/>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b/>
          <w:bCs/>
          <w:noProof w:val="0"/>
        </w:rPr>
      </w:pPr>
      <w:r>
        <w:rPr>
          <w:rFonts w:ascii="Arial" w:hAnsi="Arial"/>
          <w:b/>
          <w:bCs/>
          <w:noProof w:val="0"/>
          <w:rtl/>
        </w:rPr>
        <w:t>לאחר בחינת טענות הצדדים עדויותיהם וראיותיהם, דין שתי התביעות להידחות מהטעמים שלהלן.</w:t>
      </w:r>
    </w:p>
    <w:p w:rsidR="001F6EC9" w:rsidRDefault="001F6EC9" w:rsidP="001F6EC9">
      <w:pPr>
        <w:pStyle w:val="ad"/>
        <w:spacing w:line="360" w:lineRule="auto"/>
        <w:ind w:left="567"/>
        <w:jc w:val="both"/>
        <w:rPr>
          <w:rFonts w:ascii="Arial" w:hAnsi="Arial"/>
          <w:b/>
          <w:bCs/>
          <w:noProof w:val="0"/>
        </w:rPr>
      </w:pPr>
    </w:p>
    <w:p w:rsidR="001F6EC9" w:rsidRDefault="001924E8" w:rsidP="001F6EC9">
      <w:pPr>
        <w:pStyle w:val="ad"/>
        <w:numPr>
          <w:ilvl w:val="0"/>
          <w:numId w:val="1"/>
        </w:numPr>
        <w:spacing w:line="360" w:lineRule="auto"/>
        <w:ind w:left="567" w:hanging="567"/>
        <w:jc w:val="both"/>
        <w:rPr>
          <w:rFonts w:ascii="Arial" w:hAnsi="Arial"/>
          <w:b/>
          <w:bCs/>
          <w:noProof w:val="0"/>
        </w:rPr>
      </w:pPr>
      <w:r>
        <w:rPr>
          <w:rFonts w:ascii="Arial" w:hAnsi="Arial"/>
          <w:rtl/>
        </w:rPr>
        <w:t xml:space="preserve">בעמ"ש (מרכז) 53338-03-22 </w:t>
      </w:r>
      <w:r>
        <w:rPr>
          <w:rFonts w:ascii="Miriam" w:hAnsi="Miriam" w:cs="Miriam"/>
          <w:rtl/>
        </w:rPr>
        <w:t>ס.א. ואח' נ' ס'</w:t>
      </w:r>
      <w:r>
        <w:rPr>
          <w:rFonts w:ascii="Arial" w:hAnsi="Arial"/>
          <w:rtl/>
        </w:rPr>
        <w:t xml:space="preserve"> (4.3.2023) מפרט בית המשפט מתווה בן ארבעה שלבים לבחינת תביעות לשון הרע כפי שנקבע בע"א 751/10 פלוני נ' דר' אילנה דיין אורבך (נבו, 2012) כדלהלן:</w:t>
      </w:r>
    </w:p>
    <w:p w:rsidR="001F6EC9" w:rsidRDefault="001F6EC9" w:rsidP="001F6EC9">
      <w:pPr>
        <w:pStyle w:val="ad"/>
        <w:spacing w:line="360" w:lineRule="auto"/>
        <w:rPr>
          <w:rFonts w:ascii="Arial" w:hAnsi="Arial"/>
          <w:b/>
          <w:bCs/>
          <w:noProof w:val="0"/>
        </w:rPr>
      </w:pPr>
    </w:p>
    <w:p w:rsidR="001F6EC9" w:rsidRDefault="001924E8" w:rsidP="001F6EC9">
      <w:pPr>
        <w:spacing w:line="360" w:lineRule="auto"/>
        <w:ind w:left="567" w:right="284"/>
        <w:jc w:val="both"/>
        <w:rPr>
          <w:rFonts w:ascii="David" w:hAnsi="David"/>
          <w:b/>
          <w:bCs/>
          <w:rtl/>
        </w:rPr>
      </w:pPr>
      <w:r>
        <w:rPr>
          <w:rFonts w:ascii="David" w:hAnsi="David"/>
          <w:b/>
          <w:bCs/>
          <w:rtl/>
        </w:rPr>
        <w:t xml:space="preserve">"24. בעניין ע"א 751/10 - </w:t>
      </w:r>
      <w:r>
        <w:rPr>
          <w:rFonts w:ascii="Miriam" w:hAnsi="Miriam" w:cs="Miriam"/>
          <w:rtl/>
        </w:rPr>
        <w:t>פלוני נ' דר אילנה דיין –אורבך</w:t>
      </w:r>
      <w:r>
        <w:rPr>
          <w:rFonts w:ascii="David" w:hAnsi="David"/>
          <w:b/>
          <w:bCs/>
          <w:rtl/>
        </w:rPr>
        <w:t xml:space="preserve"> (2012) עמד כב' הש' י. עמית על  המתווה או,  כלשונו, על  "תרשים הזרימה"  בבחינת תביעות לשון הרע. </w:t>
      </w:r>
    </w:p>
    <w:p w:rsidR="001F6EC9" w:rsidRDefault="001924E8" w:rsidP="001F6EC9">
      <w:pPr>
        <w:spacing w:line="360" w:lineRule="auto"/>
        <w:ind w:left="567" w:right="284"/>
        <w:jc w:val="both"/>
        <w:rPr>
          <w:rFonts w:ascii="David" w:hAnsi="David"/>
          <w:b/>
          <w:bCs/>
          <w:rtl/>
        </w:rPr>
      </w:pPr>
      <w:r>
        <w:rPr>
          <w:rFonts w:ascii="David" w:hAnsi="David"/>
          <w:b/>
          <w:bCs/>
          <w:u w:val="single"/>
          <w:rtl/>
        </w:rPr>
        <w:t>בשלב הראשון</w:t>
      </w:r>
      <w:r>
        <w:rPr>
          <w:rFonts w:ascii="David" w:hAnsi="David"/>
          <w:b/>
          <w:bCs/>
          <w:rtl/>
        </w:rPr>
        <w:t xml:space="preserve"> נבחנת השאלה אם הביטוי מהווה לשון הרע על פי אחת מארבע החלופות בהגדרה שבסעיף 1 לחוק, והאם מתקיים יסוד הפרסום כמשמעותו בסעיף 2 לחוק. רק אם </w:t>
      </w:r>
      <w:r>
        <w:rPr>
          <w:rFonts w:ascii="David" w:hAnsi="David"/>
          <w:b/>
          <w:bCs/>
          <w:rtl/>
        </w:rPr>
        <w:lastRenderedPageBreak/>
        <w:t xml:space="preserve">התשובה חיובית עוברים </w:t>
      </w:r>
      <w:r>
        <w:rPr>
          <w:rFonts w:ascii="David" w:hAnsi="David"/>
          <w:b/>
          <w:bCs/>
          <w:u w:val="single"/>
          <w:rtl/>
        </w:rPr>
        <w:t>לשלב הבא</w:t>
      </w:r>
      <w:r>
        <w:rPr>
          <w:rFonts w:ascii="David" w:hAnsi="David"/>
          <w:b/>
          <w:bCs/>
          <w:rtl/>
        </w:rPr>
        <w:t xml:space="preserve"> ובוחנים אם הביטוי הוא בגדר פרסום מותר בהיותו נהנה מאחת החסינויות המוחלטות הקבועות בסעיף 13 לחוק. אם נכנס הפרסום לד' אמות של אחת החסינויות - דין התביעה להידחות. אם לא כן, אנו עוברים </w:t>
      </w:r>
      <w:r>
        <w:rPr>
          <w:rFonts w:ascii="David" w:hAnsi="David"/>
          <w:b/>
          <w:bCs/>
          <w:u w:val="single"/>
          <w:rtl/>
        </w:rPr>
        <w:t>לשלב הבא</w:t>
      </w:r>
      <w:r>
        <w:rPr>
          <w:rFonts w:ascii="David" w:hAnsi="David"/>
          <w:b/>
          <w:bCs/>
          <w:rtl/>
        </w:rPr>
        <w:t xml:space="preserve"> ובוחנים אם הפרסום מוגן על פי אמת המידה הקבועה בסעיף 14 לחוק, רוצה לומר - אמת בפרסום ועניין ציבורי. אם הפרסום אינו נהנה מהגנה זו, יש </w:t>
      </w:r>
      <w:r>
        <w:rPr>
          <w:rFonts w:ascii="David" w:hAnsi="David"/>
          <w:b/>
          <w:bCs/>
          <w:u w:val="single"/>
          <w:rtl/>
        </w:rPr>
        <w:t>להמשיך ולבחון</w:t>
      </w:r>
      <w:r>
        <w:rPr>
          <w:rFonts w:ascii="David" w:hAnsi="David"/>
          <w:b/>
          <w:bCs/>
          <w:rtl/>
        </w:rPr>
        <w:t xml:space="preserve"> אם הפרסום מוגן בתום ליבו של המפרסם, בגדר אחת מהחלופות הקבועות בסעיף 15 לחוק במשולב עם חזקות תום הלב בסעיף  16 לחוק. היה והתברר כי הפרסום אינו נהנה מהגנת סעיף 14 או מהגנת סעיף 15, או-אז עוברים לשלב הרביעי של הסעדים (לתיאור שונה במקצת של השלבים ראו בע"א 89/04 נודלמן נ' שרנסקי (2008) בפסקה 7)."</w:t>
      </w:r>
    </w:p>
    <w:p w:rsidR="001F6EC9" w:rsidRDefault="001924E8" w:rsidP="001F6EC9">
      <w:pPr>
        <w:spacing w:line="360" w:lineRule="auto"/>
        <w:ind w:left="567" w:right="284"/>
        <w:jc w:val="both"/>
        <w:rPr>
          <w:rFonts w:ascii="Arial" w:hAnsi="Arial"/>
          <w:b/>
          <w:bCs/>
          <w:noProof w:val="0"/>
        </w:rPr>
      </w:pPr>
      <w:r>
        <w:rPr>
          <w:rFonts w:ascii="Arial" w:hAnsi="Arial"/>
          <w:noProof w:val="0"/>
          <w:rtl/>
        </w:rPr>
        <w:t>ראו:</w:t>
      </w:r>
      <w:r>
        <w:rPr>
          <w:rFonts w:ascii="Arial" w:hAnsi="Arial"/>
          <w:b/>
          <w:bCs/>
          <w:noProof w:val="0"/>
          <w:rtl/>
        </w:rPr>
        <w:t xml:space="preserve"> </w:t>
      </w:r>
      <w:r>
        <w:rPr>
          <w:rFonts w:ascii="Arial" w:hAnsi="Arial"/>
          <w:rtl/>
        </w:rPr>
        <w:t xml:space="preserve">עמ"ש (מרכז) 53338-03-22 </w:t>
      </w:r>
      <w:r>
        <w:rPr>
          <w:rFonts w:ascii="Miriam" w:hAnsi="Miriam" w:cs="Miriam"/>
          <w:rtl/>
        </w:rPr>
        <w:t>ס.א. ואח' נ' ס'</w:t>
      </w:r>
      <w:r>
        <w:rPr>
          <w:rFonts w:ascii="Arial" w:hAnsi="Arial"/>
          <w:rtl/>
        </w:rPr>
        <w:t xml:space="preserve"> (4.3.2023)</w:t>
      </w:r>
      <w:r>
        <w:rPr>
          <w:rFonts w:ascii="Arial" w:hAnsi="Arial"/>
          <w:noProof w:val="0"/>
          <w:rtl/>
        </w:rPr>
        <w:t xml:space="preserve">, סעיף 24 לפסק הדין. </w:t>
      </w:r>
    </w:p>
    <w:p w:rsidR="001F6EC9" w:rsidRDefault="001F6EC9" w:rsidP="001F6EC9">
      <w:pPr>
        <w:pStyle w:val="ad"/>
        <w:spacing w:line="360" w:lineRule="auto"/>
        <w:rPr>
          <w:rFonts w:ascii="Arial" w:hAnsi="Arial"/>
          <w:b/>
          <w:bCs/>
          <w:noProof w:val="0"/>
          <w:rtl/>
        </w:rPr>
      </w:pPr>
    </w:p>
    <w:p w:rsidR="001F6EC9" w:rsidRDefault="001924E8" w:rsidP="001F6EC9">
      <w:pPr>
        <w:pStyle w:val="ad"/>
        <w:numPr>
          <w:ilvl w:val="0"/>
          <w:numId w:val="1"/>
        </w:numPr>
        <w:spacing w:line="360" w:lineRule="auto"/>
        <w:ind w:left="567" w:hanging="567"/>
        <w:jc w:val="both"/>
        <w:rPr>
          <w:rFonts w:ascii="Arial" w:hAnsi="Arial"/>
          <w:b/>
          <w:bCs/>
          <w:noProof w:val="0"/>
          <w:rtl/>
        </w:rPr>
      </w:pPr>
      <w:r>
        <w:rPr>
          <w:rFonts w:ascii="Arial" w:hAnsi="Arial"/>
          <w:b/>
          <w:bCs/>
          <w:rtl/>
        </w:rPr>
        <w:t>על כן ראשית יש לבחון האם הגשת תלונות כנגד התובע במשטרה ובמרכז לאלימות במשפחה מהוות פרסום עפ"י חוק איסור לשון הרע</w:t>
      </w:r>
      <w:r>
        <w:rPr>
          <w:rFonts w:ascii="Arial" w:hAnsi="Arial"/>
          <w:rtl/>
        </w:rPr>
        <w:t>.</w:t>
      </w:r>
    </w:p>
    <w:p w:rsidR="001F6EC9" w:rsidRDefault="001F6EC9" w:rsidP="001F6EC9">
      <w:pPr>
        <w:pStyle w:val="ad"/>
        <w:spacing w:line="360" w:lineRule="auto"/>
        <w:ind w:left="567"/>
        <w:jc w:val="both"/>
        <w:rPr>
          <w:rFonts w:ascii="Arial" w:hAnsi="Arial"/>
          <w:b/>
          <w:bCs/>
          <w:noProof w:val="0"/>
        </w:rPr>
      </w:pPr>
    </w:p>
    <w:p w:rsidR="001F6EC9" w:rsidRDefault="001924E8" w:rsidP="001F6EC9">
      <w:pPr>
        <w:pStyle w:val="ad"/>
        <w:numPr>
          <w:ilvl w:val="0"/>
          <w:numId w:val="1"/>
        </w:numPr>
        <w:spacing w:line="360" w:lineRule="auto"/>
        <w:ind w:left="567" w:hanging="567"/>
        <w:jc w:val="both"/>
        <w:rPr>
          <w:rFonts w:ascii="Arial" w:hAnsi="Arial"/>
          <w:b/>
          <w:bCs/>
          <w:noProof w:val="0"/>
        </w:rPr>
      </w:pPr>
      <w:r>
        <w:rPr>
          <w:rFonts w:ascii="Arial" w:hAnsi="Arial"/>
          <w:rtl/>
        </w:rPr>
        <w:t xml:space="preserve">בפסיקה עניפה נקבע כי התשובה לכך חיובית. הגשת תלונה במשטרה הינה פרסום העולה כדי לשון הרע כמשמעו בסעיפים 1 ו-2 לחוק באשר הן עלולות לגרום להשפלתו של הנילון בעיני הבריות, לעשותו מטרה לשנאה לבוז וללעג ולבזותו:  </w:t>
      </w:r>
    </w:p>
    <w:p w:rsidR="001F6EC9" w:rsidRDefault="001924E8" w:rsidP="001F6EC9">
      <w:pPr>
        <w:spacing w:line="360" w:lineRule="auto"/>
        <w:ind w:left="567" w:right="284"/>
        <w:jc w:val="both"/>
        <w:rPr>
          <w:rFonts w:ascii="David" w:hAnsi="David"/>
          <w:b/>
          <w:bCs/>
        </w:rPr>
      </w:pPr>
      <w:r>
        <w:rPr>
          <w:rFonts w:ascii="David" w:hAnsi="David"/>
          <w:b/>
          <w:bCs/>
          <w:rtl/>
        </w:rPr>
        <w:t xml:space="preserve">"27. המערערים טענו כי הנטען מהווה צֶבֶר של תלונות שווא שקריות שאין  בינן לבין המציאות מאומה, המערער לא נהג באלימות פיזית כלפי המשיבה, ולא ביצע את המעשים אותם היא מייחסת לו  תלונות השונות.  לא לחינם נדחו רוב התלונות בהעדר אשמה. </w:t>
      </w:r>
    </w:p>
    <w:p w:rsidR="001F6EC9" w:rsidRDefault="001924E8" w:rsidP="001F6EC9">
      <w:pPr>
        <w:spacing w:line="360" w:lineRule="auto"/>
        <w:ind w:left="567" w:right="284"/>
        <w:jc w:val="both"/>
        <w:rPr>
          <w:rFonts w:ascii="David" w:hAnsi="David"/>
          <w:b/>
          <w:bCs/>
        </w:rPr>
      </w:pPr>
      <w:r>
        <w:rPr>
          <w:rFonts w:ascii="David" w:hAnsi="David"/>
          <w:b/>
          <w:bCs/>
          <w:rtl/>
        </w:rPr>
        <w:t xml:space="preserve">28. על מנת שלא להאריך בדברים הפשוטים, נאמר כי הפרסומים הנזכרים הן פרסומים העולים כדי "לשון הרע" כהגדרתו בסע' 1 לחוק שכן אלו דברים שפרסומם עלול, מעצם טיבם, להשפיל אדם בעיני הבריות או לעשותו מטרה לשנאה, לבוז או ללעג מצדם או לפגוע בעיסוקו. וכי מסירתם לאחר בין בשל של תלונה ובין בדרך של מסירת מידע מהווה "פרסום". וכפי שהובהר בעניין ע"א 7426/14 </w:t>
      </w:r>
      <w:r>
        <w:rPr>
          <w:rFonts w:ascii="Miriam" w:hAnsi="Miriam" w:cs="Miriam"/>
          <w:rtl/>
        </w:rPr>
        <w:t>פלונית נ. עו"ד אורי דניאל</w:t>
      </w:r>
      <w:r>
        <w:rPr>
          <w:rFonts w:ascii="David" w:hAnsi="David"/>
          <w:b/>
          <w:bCs/>
          <w:rtl/>
        </w:rPr>
        <w:t xml:space="preserve"> (2016)  -</w:t>
      </w:r>
    </w:p>
    <w:p w:rsidR="001F6EC9" w:rsidRDefault="001924E8" w:rsidP="001F6EC9">
      <w:pPr>
        <w:spacing w:line="360" w:lineRule="auto"/>
        <w:ind w:left="1440" w:right="993"/>
        <w:jc w:val="both"/>
        <w:rPr>
          <w:rFonts w:ascii="David" w:hAnsi="David"/>
          <w:b/>
          <w:bCs/>
          <w:rtl/>
        </w:rPr>
      </w:pPr>
      <w:r>
        <w:rPr>
          <w:rFonts w:ascii="David" w:hAnsi="David"/>
          <w:b/>
          <w:bCs/>
          <w:rtl/>
        </w:rPr>
        <w:t>"תביעת לשון הרע בגין הגשת התלונות למשטרה – אין ספק שמסירת תלונה לפיה אדם עבר עבירה פלילית כלפי אדם אחר ... היא "על פניה" לשון הרע כמובנו בחוק איסור לשון הרע ...".</w:t>
      </w:r>
    </w:p>
    <w:p w:rsidR="001F6EC9" w:rsidRDefault="001924E8" w:rsidP="001F6EC9">
      <w:pPr>
        <w:spacing w:line="360" w:lineRule="auto"/>
        <w:ind w:left="567" w:right="284"/>
        <w:jc w:val="both"/>
        <w:rPr>
          <w:rFonts w:ascii="David" w:hAnsi="David"/>
          <w:b/>
          <w:bCs/>
          <w:rtl/>
        </w:rPr>
      </w:pPr>
      <w:r>
        <w:rPr>
          <w:rFonts w:ascii="David" w:hAnsi="David"/>
          <w:b/>
          <w:bCs/>
          <w:rtl/>
        </w:rPr>
        <w:t>אלא שבית משפט קמא מצא כי עומדות למשיבה הגנות שונות אותן מציע חוק לשון הרע כנגד פרסומה של לשון הרע ובכלל זה – הגנת "אמת דיברתי" שהורתה בסע' 14 לחוק,  וכן מכוח הוראת סע' 13 (5)  וסע' 15 (8)  לחוק."</w:t>
      </w:r>
    </w:p>
    <w:p w:rsidR="001F6EC9" w:rsidRDefault="001924E8" w:rsidP="001F6EC9">
      <w:pPr>
        <w:spacing w:line="360" w:lineRule="auto"/>
        <w:ind w:left="567" w:right="284"/>
        <w:jc w:val="both"/>
        <w:rPr>
          <w:rFonts w:ascii="Arial" w:hAnsi="Arial"/>
          <w:b/>
          <w:bCs/>
          <w:noProof w:val="0"/>
          <w:rtl/>
        </w:rPr>
      </w:pPr>
      <w:r>
        <w:rPr>
          <w:rFonts w:ascii="Arial" w:hAnsi="Arial"/>
          <w:noProof w:val="0"/>
          <w:rtl/>
        </w:rPr>
        <w:t>ראו:</w:t>
      </w:r>
      <w:r>
        <w:rPr>
          <w:rFonts w:ascii="Arial" w:hAnsi="Arial"/>
          <w:b/>
          <w:bCs/>
          <w:noProof w:val="0"/>
          <w:rtl/>
        </w:rPr>
        <w:t xml:space="preserve"> </w:t>
      </w:r>
      <w:r>
        <w:rPr>
          <w:rFonts w:ascii="Arial" w:hAnsi="Arial"/>
          <w:rtl/>
        </w:rPr>
        <w:t xml:space="preserve">עמ"ש (מרכז) 53338-03-22 </w:t>
      </w:r>
      <w:r>
        <w:rPr>
          <w:rFonts w:ascii="Miriam" w:hAnsi="Miriam" w:cs="Miriam"/>
          <w:rtl/>
        </w:rPr>
        <w:t>ס.א. ואח' נ' ס'</w:t>
      </w:r>
      <w:r>
        <w:rPr>
          <w:rFonts w:ascii="Arial" w:hAnsi="Arial"/>
          <w:rtl/>
        </w:rPr>
        <w:t xml:space="preserve"> (4.3.2023)</w:t>
      </w:r>
      <w:r>
        <w:rPr>
          <w:rFonts w:ascii="Arial" w:hAnsi="Arial"/>
          <w:noProof w:val="0"/>
          <w:rtl/>
        </w:rPr>
        <w:t xml:space="preserve">, סעיפים 27-28 לפסק הדין. </w:t>
      </w:r>
    </w:p>
    <w:p w:rsidR="001F6EC9" w:rsidRDefault="001F6EC9" w:rsidP="001F6EC9">
      <w:pPr>
        <w:pStyle w:val="ad"/>
        <w:spacing w:line="360" w:lineRule="auto"/>
        <w:ind w:left="567"/>
        <w:jc w:val="both"/>
        <w:rPr>
          <w:rFonts w:ascii="Arial" w:hAnsi="Arial"/>
          <w:b/>
          <w:bCs/>
          <w:noProof w:val="0"/>
          <w:rtl/>
        </w:rPr>
      </w:pPr>
    </w:p>
    <w:p w:rsidR="001F6EC9" w:rsidRDefault="001924E8" w:rsidP="001F6EC9">
      <w:pPr>
        <w:pStyle w:val="ad"/>
        <w:numPr>
          <w:ilvl w:val="0"/>
          <w:numId w:val="1"/>
        </w:numPr>
        <w:spacing w:line="360" w:lineRule="auto"/>
        <w:ind w:left="567" w:hanging="567"/>
        <w:jc w:val="both"/>
        <w:rPr>
          <w:rFonts w:ascii="Arial" w:hAnsi="Arial"/>
        </w:rPr>
      </w:pPr>
      <w:r>
        <w:rPr>
          <w:rFonts w:ascii="Arial" w:hAnsi="Arial"/>
          <w:b/>
          <w:bCs/>
          <w:rtl/>
        </w:rPr>
        <w:t>האמור לגבי תלונה במשטרה בהיבט זה של "פרסום" נכון גם לגבי פנייה למרכז לאלימות במשפחה. על כן את המשוכה הנ"ל עובר התובע</w:t>
      </w:r>
      <w:r>
        <w:rPr>
          <w:rFonts w:ascii="Arial" w:hAnsi="Arial"/>
          <w:rtl/>
        </w:rPr>
        <w:t xml:space="preserve">. </w:t>
      </w:r>
    </w:p>
    <w:p w:rsidR="001F6EC9" w:rsidRDefault="001F6EC9" w:rsidP="001F6EC9">
      <w:pPr>
        <w:pStyle w:val="ad"/>
        <w:spacing w:line="360" w:lineRule="auto"/>
        <w:ind w:left="567"/>
        <w:jc w:val="both"/>
        <w:rPr>
          <w:rFonts w:ascii="Arial" w:hAnsi="Arial"/>
        </w:rPr>
      </w:pPr>
    </w:p>
    <w:p w:rsidR="001F6EC9" w:rsidRDefault="001924E8" w:rsidP="001F6EC9">
      <w:pPr>
        <w:pStyle w:val="ad"/>
        <w:numPr>
          <w:ilvl w:val="0"/>
          <w:numId w:val="1"/>
        </w:numPr>
        <w:spacing w:line="360" w:lineRule="auto"/>
        <w:ind w:left="567" w:hanging="567"/>
        <w:jc w:val="both"/>
        <w:rPr>
          <w:rFonts w:ascii="Arial" w:hAnsi="Arial"/>
        </w:rPr>
      </w:pPr>
      <w:r>
        <w:rPr>
          <w:rFonts w:ascii="Arial" w:hAnsi="Arial"/>
          <w:rtl/>
        </w:rPr>
        <w:t xml:space="preserve">הנתבעת טענה בכתבי ההגנה לתחולת הגנות סעיפים 14 (אמת דיברתי), 13(5) (פרסום במסגרת הליך משפטי) ו-15(8) (הגשת תלונה לרשות מוסמכת) לחוק. אולם זנחה בסיכומיה את שני הראשונים וטענה להגנה מכוח סעיפים 15(8) ו-16 לחוק בלבד. בהערת אגב יוער כי בענייננו התלונות אינן נכללות בגדרי סעיף 13(5) לחוק מהטעם שאינן דברים שנאמרו באולם בית המשפט או במסגרתו של ההליך השיפוטי כי אם מחוץ לגדרו. כמו כן התלונות אינן חוסות בגדרי סעיף 14 לחוק והנתבעת לא טענה וממילא לא הוכח כי מדובר בפרסום שיש בו עניין ציבורי. </w:t>
      </w:r>
    </w:p>
    <w:p w:rsidR="001F6EC9" w:rsidRDefault="001F6EC9" w:rsidP="001F6EC9">
      <w:pPr>
        <w:pStyle w:val="ad"/>
        <w:spacing w:line="360" w:lineRule="auto"/>
        <w:rPr>
          <w:rFonts w:ascii="Arial" w:hAnsi="Arial"/>
        </w:rPr>
      </w:pPr>
    </w:p>
    <w:p w:rsidR="001F6EC9" w:rsidRDefault="001924E8" w:rsidP="001F6EC9">
      <w:pPr>
        <w:pStyle w:val="ad"/>
        <w:numPr>
          <w:ilvl w:val="0"/>
          <w:numId w:val="1"/>
        </w:numPr>
        <w:spacing w:line="360" w:lineRule="auto"/>
        <w:ind w:left="567" w:hanging="567"/>
        <w:jc w:val="both"/>
        <w:rPr>
          <w:rFonts w:ascii="Arial" w:hAnsi="Arial"/>
          <w:b/>
          <w:bCs/>
          <w:rtl/>
        </w:rPr>
      </w:pPr>
      <w:r>
        <w:rPr>
          <w:rFonts w:ascii="Arial" w:hAnsi="Arial"/>
          <w:b/>
          <w:bCs/>
          <w:rtl/>
        </w:rPr>
        <w:t xml:space="preserve">אשר על כן כעת יש לבחון האם הפרסום </w:t>
      </w:r>
      <w:r>
        <w:rPr>
          <w:rFonts w:ascii="David" w:hAnsi="David"/>
          <w:b/>
          <w:bCs/>
          <w:rtl/>
        </w:rPr>
        <w:t>מוגן בתום ליבה של הנתבעת, בגדר אחת מהחלופות הקבועות בסעיף 15 לחוק במשולב עם חזקות תום הלב בסעיף  16 לחוק.</w:t>
      </w:r>
    </w:p>
    <w:p w:rsidR="001F6EC9" w:rsidRDefault="001F6EC9" w:rsidP="001F6EC9">
      <w:pPr>
        <w:pStyle w:val="ad"/>
        <w:spacing w:line="360" w:lineRule="auto"/>
        <w:rPr>
          <w:rFonts w:ascii="Arial" w:hAnsi="Arial"/>
          <w:b/>
          <w:bCs/>
        </w:rPr>
      </w:pPr>
    </w:p>
    <w:p w:rsidR="001F6EC9" w:rsidRDefault="001924E8" w:rsidP="001F6EC9">
      <w:pPr>
        <w:pStyle w:val="ad"/>
        <w:numPr>
          <w:ilvl w:val="0"/>
          <w:numId w:val="1"/>
        </w:numPr>
        <w:spacing w:line="360" w:lineRule="auto"/>
        <w:ind w:left="567" w:hanging="567"/>
        <w:jc w:val="both"/>
        <w:rPr>
          <w:rFonts w:ascii="Arial" w:hAnsi="Arial"/>
          <w:rtl/>
        </w:rPr>
      </w:pPr>
      <w:r>
        <w:rPr>
          <w:rFonts w:ascii="Arial" w:hAnsi="Arial"/>
          <w:rtl/>
        </w:rPr>
        <w:t>הסעיפים הרלבנטיים לענייננו הינם 15(3) ו-15(8) לחוק לאיסור לשון הרע אשר זו לשונם:</w:t>
      </w:r>
    </w:p>
    <w:p w:rsidR="001F6EC9" w:rsidRDefault="001F6EC9" w:rsidP="001F6EC9">
      <w:pPr>
        <w:pStyle w:val="ad"/>
        <w:spacing w:line="360" w:lineRule="auto"/>
        <w:rPr>
          <w:rFonts w:ascii="Arial" w:hAnsi="Arial"/>
        </w:rPr>
      </w:pPr>
    </w:p>
    <w:p w:rsidR="001F6EC9" w:rsidRDefault="001924E8" w:rsidP="001F6EC9">
      <w:pPr>
        <w:spacing w:line="360" w:lineRule="auto"/>
        <w:ind w:left="1360" w:right="1560"/>
        <w:jc w:val="both"/>
        <w:rPr>
          <w:rFonts w:ascii="Arial" w:hAnsi="Arial"/>
          <w:b/>
          <w:bCs/>
          <w:rtl/>
        </w:rPr>
      </w:pPr>
      <w:r>
        <w:rPr>
          <w:rFonts w:ascii="Arial" w:hAnsi="Arial"/>
          <w:rtl/>
        </w:rPr>
        <w:t xml:space="preserve"> </w:t>
      </w:r>
      <w:r>
        <w:rPr>
          <w:rFonts w:ascii="Arial" w:hAnsi="Arial"/>
          <w:b/>
          <w:bCs/>
          <w:rtl/>
        </w:rPr>
        <w:t>"15. במשפט פלילי או אזרחי בשל לשון הרע תהא זאת הגנה טובה אם הנאשם או הנתבע עשה את הפרסום בתום לב באחת הנסיבות האלו:</w:t>
      </w:r>
    </w:p>
    <w:p w:rsidR="001F6EC9" w:rsidRDefault="001924E8" w:rsidP="001F6EC9">
      <w:pPr>
        <w:spacing w:line="360" w:lineRule="auto"/>
        <w:ind w:left="1360" w:right="1560"/>
        <w:jc w:val="both"/>
        <w:rPr>
          <w:rFonts w:ascii="Arial" w:hAnsi="Arial"/>
          <w:b/>
          <w:bCs/>
        </w:rPr>
      </w:pPr>
      <w:r>
        <w:rPr>
          <w:rFonts w:ascii="Arial" w:hAnsi="Arial"/>
          <w:b/>
          <w:bCs/>
          <w:rtl/>
        </w:rPr>
        <w:t>....</w:t>
      </w:r>
    </w:p>
    <w:p w:rsidR="001F6EC9" w:rsidRDefault="001924E8" w:rsidP="001F6EC9">
      <w:pPr>
        <w:spacing w:line="360" w:lineRule="auto"/>
        <w:ind w:left="1360" w:right="1560"/>
        <w:jc w:val="both"/>
        <w:rPr>
          <w:rFonts w:ascii="Arial" w:hAnsi="Arial"/>
          <w:b/>
          <w:bCs/>
          <w:rtl/>
        </w:rPr>
      </w:pPr>
      <w:r>
        <w:rPr>
          <w:rFonts w:ascii="Arial" w:hAnsi="Arial"/>
          <w:b/>
          <w:bCs/>
          <w:rtl/>
        </w:rPr>
        <w:t>(3) הפרסום נעשה לשם הגנה על ענין אישי כשר של הנאשם או הנתבע, של האדם שאליו הופנה הפרסום או של מי שאותו אדם מעונין בו ענין אישי כשר;</w:t>
      </w:r>
    </w:p>
    <w:p w:rsidR="001F6EC9" w:rsidRDefault="001924E8" w:rsidP="001F6EC9">
      <w:pPr>
        <w:spacing w:line="360" w:lineRule="auto"/>
        <w:ind w:left="1360" w:right="1560"/>
        <w:jc w:val="both"/>
        <w:rPr>
          <w:rFonts w:ascii="Arial" w:hAnsi="Arial"/>
          <w:b/>
          <w:bCs/>
          <w:rtl/>
        </w:rPr>
      </w:pPr>
      <w:r>
        <w:rPr>
          <w:rFonts w:ascii="Arial" w:hAnsi="Arial"/>
          <w:b/>
          <w:bCs/>
          <w:rtl/>
        </w:rPr>
        <w:t>....</w:t>
      </w:r>
    </w:p>
    <w:p w:rsidR="001F6EC9" w:rsidRDefault="001924E8" w:rsidP="001F6EC9">
      <w:pPr>
        <w:spacing w:line="360" w:lineRule="auto"/>
        <w:ind w:left="1360" w:right="1560"/>
        <w:jc w:val="both"/>
        <w:rPr>
          <w:rFonts w:ascii="Arial" w:hAnsi="Arial"/>
          <w:b/>
          <w:bCs/>
          <w:rtl/>
        </w:rPr>
      </w:pPr>
      <w:r>
        <w:rPr>
          <w:rFonts w:ascii="Arial" w:hAnsi="Arial"/>
          <w:b/>
          <w:bCs/>
          <w:rtl/>
        </w:rPr>
        <w:t>(8) הפרסום היה בהגשת תלונה על הנפגע בענין שבו האדם שאליו הוגשה התלונה ממונה על הנפגע, מכוח דין או חוזה, או תלונה שהוגשה לרשות המוסמכת לקבל תלונות על הנפגע או לחקור בענין המשמש נושא התלונה. ואולם אין בהוראה זו כדי להקנות הגנה על פרסום אחר של התלונה, של דבר הגשתה או של תכנה".</w:t>
      </w:r>
    </w:p>
    <w:p w:rsidR="001F6EC9" w:rsidRDefault="001F6EC9" w:rsidP="001F6EC9">
      <w:pPr>
        <w:pStyle w:val="ad"/>
        <w:spacing w:line="360" w:lineRule="auto"/>
        <w:rPr>
          <w:rFonts w:ascii="Arial" w:hAnsi="Arial"/>
          <w:rtl/>
        </w:rPr>
      </w:pPr>
    </w:p>
    <w:p w:rsidR="001F6EC9" w:rsidRDefault="001924E8" w:rsidP="001F6EC9">
      <w:pPr>
        <w:pStyle w:val="ad"/>
        <w:numPr>
          <w:ilvl w:val="0"/>
          <w:numId w:val="1"/>
        </w:numPr>
        <w:spacing w:line="360" w:lineRule="auto"/>
        <w:ind w:left="567" w:hanging="567"/>
        <w:jc w:val="both"/>
        <w:rPr>
          <w:rFonts w:ascii="Arial" w:hAnsi="Arial"/>
          <w:rtl/>
        </w:rPr>
      </w:pPr>
      <w:r>
        <w:rPr>
          <w:rFonts w:ascii="Arial" w:hAnsi="Arial"/>
          <w:rtl/>
        </w:rPr>
        <w:t>הגשת תלונה למשטרה וכן פניה למרכז עירוני לאלימות במשפחה הן מקרה מובהק של "פרסום לשם הגנה על עניין אישי כשר" של הנתבעת וכן בבחינת "תלונה שהוגשה לרשות מוסמכת לקבל תלונות או לחקור בעניין המשמש נושא התלונה".</w:t>
      </w:r>
    </w:p>
    <w:p w:rsidR="001F6EC9" w:rsidRDefault="001F6EC9" w:rsidP="001F6EC9">
      <w:pPr>
        <w:pStyle w:val="ad"/>
        <w:spacing w:line="360" w:lineRule="auto"/>
        <w:rPr>
          <w:rFonts w:ascii="Arial" w:hAnsi="Arial"/>
        </w:rPr>
      </w:pPr>
    </w:p>
    <w:p w:rsidR="001F6EC9" w:rsidRDefault="001924E8" w:rsidP="001F6EC9">
      <w:pPr>
        <w:pStyle w:val="ad"/>
        <w:numPr>
          <w:ilvl w:val="0"/>
          <w:numId w:val="1"/>
        </w:numPr>
        <w:spacing w:line="360" w:lineRule="auto"/>
        <w:ind w:left="567" w:hanging="567"/>
        <w:jc w:val="both"/>
        <w:rPr>
          <w:rFonts w:ascii="Arial" w:hAnsi="Arial"/>
          <w:rtl/>
        </w:rPr>
      </w:pPr>
      <w:r>
        <w:rPr>
          <w:rFonts w:ascii="Arial" w:hAnsi="Arial"/>
          <w:rtl/>
        </w:rPr>
        <w:t xml:space="preserve">בעמ"ש 53338-03-22 צוין כי גישת הפסיקה לעניין תחולת הגנת תום הלב על תלונה שהוגשה למשטרה או לרשות מוסמכת היא רחבה, ודי שהמתלוננת האמינה כי תלונתה נכונה: </w:t>
      </w:r>
    </w:p>
    <w:p w:rsidR="001F6EC9" w:rsidRDefault="001924E8" w:rsidP="001F6EC9">
      <w:pPr>
        <w:spacing w:line="360" w:lineRule="auto"/>
        <w:ind w:left="567" w:right="284"/>
        <w:jc w:val="both"/>
        <w:rPr>
          <w:rFonts w:ascii="Arial" w:hAnsi="Arial"/>
          <w:b/>
          <w:bCs/>
        </w:rPr>
      </w:pPr>
      <w:r>
        <w:rPr>
          <w:rFonts w:ascii="Arial" w:hAnsi="Arial"/>
          <w:b/>
          <w:bCs/>
          <w:rtl/>
        </w:rPr>
        <w:lastRenderedPageBreak/>
        <w:t xml:space="preserve">"32. הובהר בפסיקה כי תלונה המוגשת לרשות מוסמכת ובכלל זה המשטרה חוסה תחת מטריית ההגנה של </w:t>
      </w:r>
      <w:r w:rsidRPr="001F6EC9">
        <w:rPr>
          <w:rFonts w:ascii="Arial" w:hAnsi="Arial"/>
          <w:b/>
          <w:bCs/>
          <w:rtl/>
        </w:rPr>
        <w:t>סע' 15 (8)</w:t>
      </w:r>
      <w:r>
        <w:rPr>
          <w:rFonts w:ascii="Arial" w:hAnsi="Arial"/>
          <w:b/>
          <w:bCs/>
          <w:rtl/>
        </w:rPr>
        <w:t xml:space="preserve"> לחוק שהוראתו במתן הגנה ככל ש – </w:t>
      </w:r>
    </w:p>
    <w:p w:rsidR="001F6EC9" w:rsidRDefault="001924E8" w:rsidP="001F6EC9">
      <w:pPr>
        <w:spacing w:line="360" w:lineRule="auto"/>
        <w:ind w:left="1076" w:right="1276"/>
        <w:jc w:val="both"/>
        <w:rPr>
          <w:rFonts w:ascii="Arial" w:hAnsi="Arial"/>
          <w:b/>
          <w:bCs/>
        </w:rPr>
      </w:pPr>
      <w:r>
        <w:rPr>
          <w:rFonts w:ascii="Arial" w:hAnsi="Arial"/>
          <w:b/>
          <w:bCs/>
          <w:rtl/>
        </w:rPr>
        <w:t>"(8) הפרסום היה בהגשת תלונה על הנפגע בענין שבו האדם שאליו הוגשה התלונה ממונה על הנפגע, מכוח דין או חוזה, או תלונה שהוגשה לרשות המוסמכת לקבל תלונות על הנפגע או לחקור בענין המשמש נושא התלונה. ואולם אין בהוראה זו כדי להקנות הגנה על פרסום אחר של התלונה, של דבר הגשתה או של תכנה;"</w:t>
      </w:r>
    </w:p>
    <w:p w:rsidR="001F6EC9" w:rsidRDefault="001924E8" w:rsidP="001F6EC9">
      <w:pPr>
        <w:spacing w:line="360" w:lineRule="auto"/>
        <w:ind w:left="567" w:right="284"/>
        <w:jc w:val="both"/>
        <w:rPr>
          <w:rFonts w:ascii="Arial" w:hAnsi="Arial"/>
          <w:b/>
          <w:bCs/>
          <w:rtl/>
        </w:rPr>
      </w:pPr>
      <w:r>
        <w:rPr>
          <w:rFonts w:ascii="Arial" w:hAnsi="Arial"/>
          <w:b/>
          <w:bCs/>
          <w:rtl/>
        </w:rPr>
        <w:t xml:space="preserve">וכך הובהר בעניין אורי דניאל הנ"ל בכל הקשור להגשת תלונות במשטרה – </w:t>
      </w:r>
    </w:p>
    <w:p w:rsidR="001F6EC9" w:rsidRDefault="001924E8" w:rsidP="001F6EC9">
      <w:pPr>
        <w:spacing w:line="360" w:lineRule="auto"/>
        <w:ind w:left="1076" w:right="1276"/>
        <w:jc w:val="both"/>
        <w:rPr>
          <w:rFonts w:ascii="Arial" w:hAnsi="Arial"/>
          <w:b/>
          <w:bCs/>
        </w:rPr>
      </w:pPr>
      <w:r>
        <w:rPr>
          <w:rFonts w:ascii="Arial" w:hAnsi="Arial"/>
          <w:b/>
          <w:bCs/>
          <w:rtl/>
        </w:rPr>
        <w:t>"מדובר בהוצאת לשון הרע בנסיבות שבהן קיים אינטרס חברתי חיוני ב"זרימת מידע" לרשויות החוק. על כן, דיני לשון הרע פורשים, באופן מסורתי, "מטריית מגן" מעל ראשיהם של מי שהתלוננו למשטרה, ובלבד שהגישו את תלונתם בתום לב, הכול כאמור בסעיף 15(8) ל</w:t>
      </w:r>
      <w:r w:rsidRPr="001F6EC9">
        <w:rPr>
          <w:rFonts w:ascii="Arial" w:hAnsi="Arial"/>
          <w:b/>
          <w:bCs/>
          <w:rtl/>
        </w:rPr>
        <w:t>חוק איסור לשון הרע</w:t>
      </w:r>
      <w:r>
        <w:rPr>
          <w:rFonts w:ascii="Arial" w:hAnsi="Arial"/>
          <w:b/>
          <w:bCs/>
          <w:rtl/>
        </w:rPr>
        <w:t>"</w:t>
      </w:r>
    </w:p>
    <w:p w:rsidR="001F6EC9" w:rsidRDefault="001F6EC9" w:rsidP="001F6EC9">
      <w:pPr>
        <w:spacing w:line="360" w:lineRule="auto"/>
        <w:ind w:left="1076" w:right="1276"/>
        <w:jc w:val="both"/>
        <w:rPr>
          <w:rFonts w:ascii="Arial" w:hAnsi="Arial"/>
          <w:b/>
          <w:bCs/>
        </w:rPr>
      </w:pPr>
    </w:p>
    <w:p w:rsidR="001F6EC9" w:rsidRDefault="001924E8" w:rsidP="001F6EC9">
      <w:pPr>
        <w:spacing w:line="360" w:lineRule="auto"/>
        <w:ind w:left="567" w:right="284"/>
        <w:jc w:val="both"/>
        <w:rPr>
          <w:rFonts w:ascii="Arial" w:hAnsi="Arial"/>
          <w:b/>
          <w:bCs/>
          <w:rtl/>
        </w:rPr>
      </w:pPr>
      <w:r>
        <w:rPr>
          <w:rFonts w:ascii="Arial" w:hAnsi="Arial"/>
          <w:b/>
          <w:bCs/>
          <w:rtl/>
        </w:rPr>
        <w:t>33. זאת ועוד, יש להזכיר כי גישתה של הפסיקה בכל הנוגע לתחולתה של ההגנה על הגשת תלונות למשטרה היא מרחיבה. נפסק כי די שהמתלוננת האמינה כי תלונתה נכונה על מנת להקים את ההגנה ללא קשר למניע להגשתה (</w:t>
      </w:r>
      <w:r w:rsidRPr="001F6EC9">
        <w:rPr>
          <w:rFonts w:ascii="Arial" w:hAnsi="Arial"/>
          <w:b/>
          <w:bCs/>
          <w:rtl/>
        </w:rPr>
        <w:t>ע"א 788/79</w:t>
      </w:r>
      <w:r>
        <w:rPr>
          <w:rFonts w:ascii="Arial" w:hAnsi="Arial"/>
          <w:b/>
          <w:bCs/>
          <w:rtl/>
        </w:rPr>
        <w:t xml:space="preserve"> ריימר נ' רייבר [פורסם בנבו]  (1981)). בנוסף על פי </w:t>
      </w:r>
      <w:r w:rsidRPr="001F6EC9">
        <w:rPr>
          <w:rFonts w:ascii="Arial" w:hAnsi="Arial"/>
          <w:b/>
          <w:bCs/>
          <w:rtl/>
        </w:rPr>
        <w:t>סעיף 16 (א)</w:t>
      </w:r>
      <w:r>
        <w:rPr>
          <w:rFonts w:ascii="Arial" w:hAnsi="Arial"/>
          <w:b/>
          <w:bCs/>
          <w:rtl/>
        </w:rPr>
        <w:t xml:space="preserve"> לחוק – ככל שהפרסום הינו הגשת התלונה למשטרה - קיימת חזקה לפיה התלונה הוגשה בתום לב, ובמילים אחרות, להיבט הסובייקטיבי יש משקל משמעותי בהגשת תלונות לרשות מוסמכת". </w:t>
      </w:r>
    </w:p>
    <w:p w:rsidR="001F6EC9" w:rsidRDefault="001924E8" w:rsidP="001F6EC9">
      <w:pPr>
        <w:spacing w:line="360" w:lineRule="auto"/>
        <w:ind w:left="567" w:right="284"/>
        <w:jc w:val="both"/>
        <w:rPr>
          <w:rFonts w:ascii="Arial" w:hAnsi="Arial"/>
          <w:b/>
          <w:bCs/>
          <w:noProof w:val="0"/>
          <w:rtl/>
        </w:rPr>
      </w:pPr>
      <w:r>
        <w:rPr>
          <w:rFonts w:ascii="Arial" w:hAnsi="Arial"/>
          <w:noProof w:val="0"/>
          <w:rtl/>
        </w:rPr>
        <w:t>ראו:</w:t>
      </w:r>
      <w:r>
        <w:rPr>
          <w:rFonts w:ascii="Arial" w:hAnsi="Arial"/>
          <w:b/>
          <w:bCs/>
          <w:noProof w:val="0"/>
          <w:rtl/>
        </w:rPr>
        <w:t xml:space="preserve"> </w:t>
      </w:r>
      <w:r>
        <w:rPr>
          <w:rFonts w:ascii="Arial" w:hAnsi="Arial"/>
          <w:rtl/>
        </w:rPr>
        <w:t xml:space="preserve">עמ"ש (מרכז) 53338-03-22 </w:t>
      </w:r>
      <w:r>
        <w:rPr>
          <w:rFonts w:ascii="Miriam" w:hAnsi="Miriam" w:cs="Miriam"/>
          <w:rtl/>
        </w:rPr>
        <w:t>ס.א. ואח' נ' ס'</w:t>
      </w:r>
      <w:r>
        <w:rPr>
          <w:rFonts w:ascii="Arial" w:hAnsi="Arial"/>
          <w:rtl/>
        </w:rPr>
        <w:t xml:space="preserve"> (4.3.2023)</w:t>
      </w:r>
      <w:r>
        <w:rPr>
          <w:rFonts w:ascii="Arial" w:hAnsi="Arial"/>
          <w:noProof w:val="0"/>
          <w:rtl/>
        </w:rPr>
        <w:t xml:space="preserve">, סעיפים 31-33 לפסק הדין. </w:t>
      </w:r>
    </w:p>
    <w:p w:rsidR="001F6EC9" w:rsidRDefault="001F6EC9" w:rsidP="001F6EC9">
      <w:pPr>
        <w:pStyle w:val="ad"/>
        <w:spacing w:line="360" w:lineRule="auto"/>
        <w:rPr>
          <w:rFonts w:ascii="Arial" w:hAnsi="Arial"/>
          <w:rtl/>
        </w:rPr>
      </w:pPr>
    </w:p>
    <w:p w:rsidR="001F6EC9" w:rsidRDefault="001924E8" w:rsidP="001F6EC9">
      <w:pPr>
        <w:pStyle w:val="ad"/>
        <w:numPr>
          <w:ilvl w:val="0"/>
          <w:numId w:val="1"/>
        </w:numPr>
        <w:spacing w:line="360" w:lineRule="auto"/>
        <w:ind w:left="567" w:hanging="567"/>
        <w:jc w:val="both"/>
        <w:rPr>
          <w:rFonts w:ascii="Arial" w:hAnsi="Arial"/>
          <w:rtl/>
        </w:rPr>
      </w:pPr>
      <w:r>
        <w:rPr>
          <w:rFonts w:ascii="Arial" w:hAnsi="Arial"/>
          <w:rtl/>
        </w:rPr>
        <w:t xml:space="preserve">כמו כן נקבע בעמ"ש 53338-03-22 כי גם אם התלונה נוסחה על ידי המתלוננת על דרך ההפרזה ונמצאו בה אי דיוקים אין הדבר מאיין את הגנת תום הלב אשר בסעיף 15(8), כל עוד יש ממש בעיקרי הנטען ומנקודת מבטה הסובייקטיבי של המתלוננת: </w:t>
      </w:r>
    </w:p>
    <w:p w:rsidR="001F6EC9" w:rsidRDefault="001F6EC9" w:rsidP="001F6EC9">
      <w:pPr>
        <w:pStyle w:val="ad"/>
        <w:spacing w:line="360" w:lineRule="auto"/>
        <w:ind w:left="793" w:right="426"/>
        <w:jc w:val="both"/>
        <w:rPr>
          <w:rFonts w:ascii="Arial" w:hAnsi="Arial"/>
          <w:b/>
          <w:bCs/>
        </w:rPr>
      </w:pPr>
    </w:p>
    <w:p w:rsidR="001F6EC9" w:rsidRDefault="001924E8" w:rsidP="001F6EC9">
      <w:pPr>
        <w:spacing w:line="360" w:lineRule="auto"/>
        <w:ind w:left="567" w:right="284"/>
        <w:jc w:val="both"/>
        <w:rPr>
          <w:rFonts w:ascii="Arial" w:hAnsi="Arial"/>
          <w:b/>
          <w:bCs/>
          <w:rtl/>
        </w:rPr>
      </w:pPr>
      <w:r>
        <w:rPr>
          <w:rFonts w:ascii="Arial" w:hAnsi="Arial"/>
          <w:b/>
          <w:bCs/>
          <w:rtl/>
        </w:rPr>
        <w:t xml:space="preserve">"[..] בנדון התלונות הגיעו בתקופה בה מערכת היחסים של הצדדים הייתה קשה ונראה כי חששותיה של המשיבה ממעקב שהטמין לה המשיב ברכבה היו כנים ואף לא ניתן לשלול לחלוטין את תלונותיה לאלימות של המערער כלפיה, כפי שעלה מהעדויות השונות והראיות כאמור מעלה. [...] לסברתנו אין להפוך את אי הדיוקים וההפרזה ככאלה המאיינים את ההגנה שנותן </w:t>
      </w:r>
      <w:r w:rsidRPr="001F6EC9">
        <w:rPr>
          <w:rFonts w:ascii="Arial" w:hAnsi="Arial"/>
          <w:b/>
          <w:bCs/>
          <w:rtl/>
        </w:rPr>
        <w:t>סע' 15 (8)</w:t>
      </w:r>
      <w:r>
        <w:rPr>
          <w:rFonts w:ascii="Arial" w:hAnsi="Arial"/>
          <w:b/>
          <w:bCs/>
          <w:rtl/>
        </w:rPr>
        <w:t xml:space="preserve">  לחוק, שכן הדברים נאמרו על ידי המשיבה מזווית ראיה סובייקטיבית שלה עצמה,  לו כך היה די היה לו למחוקק לקבוע את הגנת אמת דיברתי ולא היה נדרש למתן הגנות נוספות הרחבות מעצם אמירת האמת כפשוטה.  מעת שעיקרו וגרעינו הרחב של הנטען בתלונות השונות היה בו ממש, אין לומר כי אלו הוגשו בחוסר תום לב".  </w:t>
      </w:r>
    </w:p>
    <w:p w:rsidR="001F6EC9" w:rsidRDefault="001924E8" w:rsidP="001F6EC9">
      <w:pPr>
        <w:spacing w:line="360" w:lineRule="auto"/>
        <w:ind w:left="567" w:right="284"/>
        <w:jc w:val="both"/>
        <w:rPr>
          <w:rFonts w:ascii="Arial" w:hAnsi="Arial"/>
          <w:b/>
          <w:bCs/>
          <w:noProof w:val="0"/>
        </w:rPr>
      </w:pPr>
      <w:r>
        <w:rPr>
          <w:rFonts w:ascii="Arial" w:hAnsi="Arial"/>
          <w:noProof w:val="0"/>
          <w:rtl/>
        </w:rPr>
        <w:lastRenderedPageBreak/>
        <w:t>ראו:</w:t>
      </w:r>
      <w:r>
        <w:rPr>
          <w:rFonts w:ascii="Arial" w:hAnsi="Arial"/>
          <w:b/>
          <w:bCs/>
          <w:noProof w:val="0"/>
          <w:rtl/>
        </w:rPr>
        <w:t xml:space="preserve"> </w:t>
      </w:r>
      <w:r>
        <w:rPr>
          <w:rFonts w:ascii="Arial" w:hAnsi="Arial"/>
          <w:rtl/>
        </w:rPr>
        <w:t xml:space="preserve">עמ"ש (מרכז) 53338-03-22 </w:t>
      </w:r>
      <w:r>
        <w:rPr>
          <w:rFonts w:ascii="Miriam" w:hAnsi="Miriam" w:cs="Miriam"/>
          <w:rtl/>
        </w:rPr>
        <w:t>ס.א. ואח' נ' ס'</w:t>
      </w:r>
      <w:r>
        <w:rPr>
          <w:rFonts w:ascii="Arial" w:hAnsi="Arial"/>
          <w:rtl/>
        </w:rPr>
        <w:t xml:space="preserve"> (4.3.2023)</w:t>
      </w:r>
      <w:r>
        <w:rPr>
          <w:rFonts w:ascii="Arial" w:hAnsi="Arial"/>
          <w:noProof w:val="0"/>
          <w:rtl/>
        </w:rPr>
        <w:t xml:space="preserve">, סעיף 33 לפסק הדין. </w:t>
      </w:r>
    </w:p>
    <w:p w:rsidR="001F6EC9" w:rsidRDefault="001F6EC9" w:rsidP="001F6EC9">
      <w:pPr>
        <w:pStyle w:val="ad"/>
        <w:spacing w:line="360" w:lineRule="auto"/>
        <w:ind w:left="567"/>
        <w:jc w:val="both"/>
        <w:rPr>
          <w:rFonts w:ascii="Arial" w:hAnsi="Arial"/>
          <w:rtl/>
        </w:rPr>
      </w:pPr>
    </w:p>
    <w:p w:rsidR="001F6EC9" w:rsidRDefault="001924E8" w:rsidP="001F6EC9">
      <w:pPr>
        <w:pStyle w:val="ad"/>
        <w:numPr>
          <w:ilvl w:val="0"/>
          <w:numId w:val="1"/>
        </w:numPr>
        <w:spacing w:line="360" w:lineRule="auto"/>
        <w:ind w:left="567" w:hanging="567"/>
        <w:jc w:val="both"/>
      </w:pPr>
      <w:r>
        <w:rPr>
          <w:b/>
          <w:bCs/>
          <w:rtl/>
        </w:rPr>
        <w:t>לשם בחינת יסוד תום ליבה של הנתבעת בהגשת התלונות למשטרה ובפניה למרכז לאלימות במשפחה, יש לבחון האם מתקיימת חזקת תום הלב הקבועה בסעיף 16 לחוק</w:t>
      </w:r>
      <w:r>
        <w:rPr>
          <w:rtl/>
        </w:rPr>
        <w:t xml:space="preserve">. </w:t>
      </w:r>
    </w:p>
    <w:p w:rsidR="001F6EC9" w:rsidRDefault="001F6EC9" w:rsidP="001F6EC9">
      <w:pPr>
        <w:pStyle w:val="ad"/>
        <w:spacing w:line="360" w:lineRule="auto"/>
      </w:pPr>
    </w:p>
    <w:p w:rsidR="001F6EC9" w:rsidRDefault="001924E8" w:rsidP="001F6EC9">
      <w:pPr>
        <w:pStyle w:val="ad"/>
        <w:numPr>
          <w:ilvl w:val="0"/>
          <w:numId w:val="1"/>
        </w:numPr>
        <w:spacing w:line="360" w:lineRule="auto"/>
        <w:ind w:left="567" w:hanging="567"/>
        <w:jc w:val="both"/>
        <w:rPr>
          <w:rFonts w:ascii="Arial" w:hAnsi="Arial"/>
          <w:rtl/>
        </w:rPr>
      </w:pPr>
      <w:r>
        <w:rPr>
          <w:rtl/>
        </w:rPr>
        <w:t xml:space="preserve">בהתאם לסעיף 16(א) חזקת תום לב לגבי פרסום אשר נעשה בנסיבות המפורטות בסעיף 15 קמה במקרה בו הפרסום לא חרג מתחום הסביר באותן הנסיבות. בהתאם לסעיף 16(ב) לחוק חזקה שפרסום נעשה שלא בתום לב </w:t>
      </w:r>
      <w:r>
        <w:rPr>
          <w:rFonts w:ascii="Arial" w:hAnsi="Arial"/>
          <w:rtl/>
        </w:rPr>
        <w:t xml:space="preserve">רק אם יוכיח התובע את החלופות המפורטות להלן: </w:t>
      </w:r>
    </w:p>
    <w:p w:rsidR="001F6EC9" w:rsidRDefault="001924E8" w:rsidP="001F6EC9">
      <w:pPr>
        <w:pStyle w:val="ad"/>
        <w:spacing w:line="360" w:lineRule="auto"/>
        <w:ind w:left="1218" w:right="1560" w:hanging="142"/>
        <w:jc w:val="both"/>
        <w:rPr>
          <w:b/>
          <w:bCs/>
        </w:rPr>
      </w:pPr>
      <w:r>
        <w:rPr>
          <w:rtl/>
        </w:rPr>
        <w:t>"</w:t>
      </w:r>
      <w:r>
        <w:rPr>
          <w:rtl/>
        </w:rPr>
        <w:tab/>
      </w:r>
      <w:r>
        <w:rPr>
          <w:b/>
          <w:bCs/>
          <w:rtl/>
        </w:rPr>
        <w:t>(1) הדבר שפורסם לא היה אמת והוא לא האמין באמיתותו</w:t>
      </w:r>
    </w:p>
    <w:p w:rsidR="001F6EC9" w:rsidRDefault="001924E8" w:rsidP="001F6EC9">
      <w:pPr>
        <w:pStyle w:val="ad"/>
        <w:spacing w:line="360" w:lineRule="auto"/>
        <w:ind w:left="1218" w:right="1560" w:hanging="142"/>
        <w:jc w:val="both"/>
        <w:rPr>
          <w:b/>
          <w:bCs/>
        </w:rPr>
      </w:pPr>
      <w:r>
        <w:rPr>
          <w:b/>
          <w:bCs/>
          <w:rtl/>
        </w:rPr>
        <w:t xml:space="preserve">  </w:t>
      </w:r>
      <w:r>
        <w:rPr>
          <w:b/>
          <w:bCs/>
          <w:rtl/>
        </w:rPr>
        <w:tab/>
        <w:t>(2) הדבר שפורסם לא היה אמת והוא לא נקט לפני הפרסום אמצעים סבירים להיווכח אם אמת הוא אם לא</w:t>
      </w:r>
    </w:p>
    <w:p w:rsidR="001F6EC9" w:rsidRDefault="001924E8" w:rsidP="001F6EC9">
      <w:pPr>
        <w:pStyle w:val="ad"/>
        <w:spacing w:line="360" w:lineRule="auto"/>
        <w:ind w:left="1218" w:right="1560"/>
        <w:jc w:val="both"/>
        <w:rPr>
          <w:b/>
          <w:bCs/>
          <w:rtl/>
        </w:rPr>
      </w:pPr>
      <w:r>
        <w:rPr>
          <w:b/>
          <w:bCs/>
          <w:rtl/>
        </w:rPr>
        <w:t xml:space="preserve">(3) הוא נתכוון ע"י הפרסום לפגוע במידה גדולה משהיתה סבירה להגנת הערכים המוגנים ע"י סעיף 15". </w:t>
      </w:r>
    </w:p>
    <w:p w:rsidR="001F6EC9" w:rsidRDefault="001F6EC9" w:rsidP="001F6EC9">
      <w:pPr>
        <w:pStyle w:val="ad"/>
        <w:spacing w:line="360" w:lineRule="auto"/>
        <w:rPr>
          <w:rFonts w:ascii="Arial" w:hAnsi="Arial"/>
          <w:rtl/>
        </w:rPr>
      </w:pPr>
    </w:p>
    <w:p w:rsidR="001F6EC9" w:rsidRDefault="001924E8" w:rsidP="001F6EC9">
      <w:pPr>
        <w:pStyle w:val="ad"/>
        <w:numPr>
          <w:ilvl w:val="0"/>
          <w:numId w:val="1"/>
        </w:numPr>
        <w:spacing w:line="360" w:lineRule="auto"/>
        <w:ind w:left="567" w:hanging="567"/>
        <w:jc w:val="both"/>
        <w:rPr>
          <w:rFonts w:ascii="Arial" w:hAnsi="Arial"/>
          <w:b/>
          <w:bCs/>
          <w:rtl/>
        </w:rPr>
      </w:pPr>
      <w:r>
        <w:rPr>
          <w:rFonts w:ascii="Arial" w:hAnsi="Arial"/>
          <w:b/>
          <w:bCs/>
          <w:rtl/>
        </w:rPr>
        <w:t xml:space="preserve">לאחר שמיעת הצדדים ובחינת חומר הראיות שוכנעתי כי הנתבעת הגישה את התלונות למשטרה ופנתה למרכז לאלימות במשפחה בתום לב ובשל חשש אמיתי מפני התובע וזאת לאור התנהגותו כלפיה בסמוך לפרידת הצדדים וסביב מחלוקות לגבי זמני שהות עם הקטינה. </w:t>
      </w:r>
    </w:p>
    <w:p w:rsidR="001F6EC9" w:rsidRDefault="001F6EC9" w:rsidP="001F6EC9">
      <w:pPr>
        <w:pStyle w:val="ad"/>
        <w:spacing w:line="360" w:lineRule="auto"/>
        <w:ind w:left="567"/>
        <w:jc w:val="both"/>
        <w:rPr>
          <w:rFonts w:ascii="Arial" w:hAnsi="Arial"/>
        </w:rPr>
      </w:pPr>
    </w:p>
    <w:p w:rsidR="001F6EC9" w:rsidRDefault="001924E8" w:rsidP="001F6EC9">
      <w:pPr>
        <w:pStyle w:val="ad"/>
        <w:numPr>
          <w:ilvl w:val="0"/>
          <w:numId w:val="1"/>
        </w:numPr>
        <w:spacing w:line="360" w:lineRule="auto"/>
        <w:ind w:left="567" w:hanging="567"/>
        <w:jc w:val="both"/>
        <w:rPr>
          <w:rFonts w:ascii="Arial" w:hAnsi="Arial"/>
        </w:rPr>
      </w:pPr>
      <w:r>
        <w:rPr>
          <w:rFonts w:ascii="Arial" w:hAnsi="Arial"/>
          <w:rtl/>
        </w:rPr>
        <w:t xml:space="preserve">מעדותה של </w:t>
      </w:r>
      <w:r>
        <w:rPr>
          <w:rFonts w:ascii="Arial" w:hAnsi="Arial"/>
          <w:b/>
          <w:bCs/>
          <w:rtl/>
        </w:rPr>
        <w:t>הנתבעת</w:t>
      </w:r>
      <w:r>
        <w:rPr>
          <w:rFonts w:ascii="Arial" w:hAnsi="Arial"/>
          <w:rtl/>
        </w:rPr>
        <w:t xml:space="preserve"> שוכנעתי כי במועד הגשת התלונות והפניה למרכז לאלימות במשפחה הנתבעת חששה כי התובע יפגע בה: </w:t>
      </w:r>
    </w:p>
    <w:p w:rsidR="001F6EC9" w:rsidRDefault="001924E8" w:rsidP="001F6EC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"אז אמרתי לך, קשת הרגשות של בן-אדם היא רחבה, אפשר גם לפחד מבן-אדם וגם לרחם עליו וגם לדאוג לו. יש נשים שהן נמצאות במערכת יחסים אלימה גם 30 שנה וגם מתות עם אותו בן-אדם והן עדיין מפחדות ממנו ועדיין אפילו ישנות אתו באותה מיטה, זה לא נוגד אחד את השני, </w:t>
      </w:r>
      <w:r>
        <w:rPr>
          <w:rFonts w:ascii="David" w:hAnsi="David" w:cs="David"/>
          <w:sz w:val="24"/>
          <w:szCs w:val="24"/>
          <w:rtl/>
        </w:rPr>
        <w:t>אני מפחדת ממנו אני אמשיך לפחד ממנו כנראה גם עד היום שאני אמות, אני אומרת לך את האמת זה תמיד נמצא לי בפנים, היום קצת פחות כי אני עברתי איזשהו תהליך עם עצמי אבל הפחד תמיד היה נוכח שם ותמיד יהיה נוכח</w:t>
      </w:r>
      <w:r>
        <w:rPr>
          <w:rFonts w:ascii="David" w:hAnsi="David" w:cs="David"/>
          <w:b w:val="0"/>
          <w:bCs w:val="0"/>
          <w:sz w:val="24"/>
          <w:szCs w:val="24"/>
          <w:u w:val="none"/>
          <w:rtl/>
        </w:rPr>
        <w:t>." (ההדגשה בקו הוספה).</w:t>
      </w:r>
    </w:p>
    <w:p w:rsidR="001F6EC9" w:rsidRDefault="001924E8" w:rsidP="001F6EC9">
      <w:pPr>
        <w:pStyle w:val="ad"/>
        <w:spacing w:line="360" w:lineRule="auto"/>
        <w:ind w:left="567"/>
        <w:jc w:val="both"/>
        <w:rPr>
          <w:rFonts w:ascii="Arial" w:hAnsi="Arial"/>
        </w:rPr>
      </w:pPr>
      <w:r>
        <w:rPr>
          <w:rFonts w:ascii="Arial" w:hAnsi="Arial"/>
          <w:rtl/>
        </w:rPr>
        <w:t xml:space="preserve">ראו: פרוטוקול מיום 28.1.24 עמ' 50.  </w:t>
      </w:r>
    </w:p>
    <w:p w:rsidR="001F6EC9" w:rsidRDefault="001F6EC9" w:rsidP="001F6EC9">
      <w:pPr>
        <w:pStyle w:val="ad"/>
        <w:spacing w:line="360" w:lineRule="auto"/>
        <w:rPr>
          <w:rFonts w:ascii="Arial" w:hAnsi="Arial"/>
        </w:rPr>
      </w:pPr>
    </w:p>
    <w:p w:rsidR="001F6EC9" w:rsidRDefault="001924E8" w:rsidP="001F6EC9">
      <w:pPr>
        <w:pStyle w:val="ad"/>
        <w:numPr>
          <w:ilvl w:val="0"/>
          <w:numId w:val="1"/>
        </w:numPr>
        <w:spacing w:line="360" w:lineRule="auto"/>
        <w:ind w:left="567" w:hanging="567"/>
        <w:jc w:val="both"/>
        <w:rPr>
          <w:rFonts w:ascii="Arial" w:hAnsi="Arial"/>
          <w:rtl/>
        </w:rPr>
      </w:pPr>
      <w:r>
        <w:rPr>
          <w:rFonts w:ascii="Arial" w:hAnsi="Arial"/>
          <w:rtl/>
        </w:rPr>
        <w:t xml:space="preserve">בעדותה בפניי עמדה </w:t>
      </w:r>
      <w:r>
        <w:rPr>
          <w:rFonts w:ascii="Arial" w:hAnsi="Arial"/>
          <w:b/>
          <w:bCs/>
          <w:rtl/>
        </w:rPr>
        <w:t>הנתבעת</w:t>
      </w:r>
      <w:r>
        <w:rPr>
          <w:rFonts w:ascii="Arial" w:hAnsi="Arial"/>
          <w:rtl/>
        </w:rPr>
        <w:t xml:space="preserve"> על מורכבות מערכת היחסים בין הצדדים תוך שהיא מביעה מצד אחד דאגה לתובע ורגישות למצבו ומצד שני מבטאת במילים ברורות את חששה מפניו ("קשת הרגשות של בן אדם היא רחבה, אפשר גם לפחד מבן אדם וגם לרחם עליו ולדאוג לו" – ראו: פרוטוקול מיום 28.1.24 עמ' 50). עמדתה זו של הנתבעת אשר אינה מבקשת להצטייר כמי שרק מאויימת באופן חמור מפני התובע בשל התנהגותו כלפיה, מחזקת גם היא את המסקנה לגבי תום ליבה של הנתבעת בעת הגשת התלונות והפניה למרכז. </w:t>
      </w:r>
    </w:p>
    <w:p w:rsidR="001F6EC9" w:rsidRDefault="001F6EC9" w:rsidP="001F6EC9">
      <w:pPr>
        <w:pStyle w:val="ad"/>
        <w:spacing w:line="360" w:lineRule="auto"/>
        <w:ind w:left="567"/>
        <w:jc w:val="both"/>
        <w:rPr>
          <w:rFonts w:ascii="Arial" w:hAnsi="Arial"/>
        </w:rPr>
      </w:pPr>
    </w:p>
    <w:p w:rsidR="001F6EC9" w:rsidRDefault="001924E8" w:rsidP="001F6EC9">
      <w:pPr>
        <w:pStyle w:val="ad"/>
        <w:numPr>
          <w:ilvl w:val="0"/>
          <w:numId w:val="1"/>
        </w:numPr>
        <w:spacing w:line="360" w:lineRule="auto"/>
        <w:ind w:left="567" w:hanging="567"/>
        <w:jc w:val="both"/>
        <w:rPr>
          <w:rFonts w:ascii="Arial" w:hAnsi="Arial"/>
        </w:rPr>
      </w:pPr>
      <w:r>
        <w:rPr>
          <w:rtl/>
        </w:rPr>
        <w:t>גרסתה של הנתבעת בעדותה הייתה מנומקת סדורה ועקבית ושוכנעתי במהימנותה.</w:t>
      </w:r>
      <w:r>
        <w:rPr>
          <w:rFonts w:ascii="Arial" w:hAnsi="Arial"/>
          <w:rtl/>
        </w:rPr>
        <w:t xml:space="preserve"> </w:t>
      </w:r>
    </w:p>
    <w:p w:rsidR="001F6EC9" w:rsidRDefault="001F6EC9" w:rsidP="001F6EC9">
      <w:pPr>
        <w:pStyle w:val="ad"/>
        <w:spacing w:line="360" w:lineRule="auto"/>
        <w:rPr>
          <w:rFonts w:ascii="Arial" w:hAnsi="Arial"/>
        </w:rPr>
      </w:pPr>
    </w:p>
    <w:p w:rsidR="001F6EC9" w:rsidRDefault="001924E8" w:rsidP="001F6EC9">
      <w:pPr>
        <w:pStyle w:val="ad"/>
        <w:numPr>
          <w:ilvl w:val="0"/>
          <w:numId w:val="1"/>
        </w:numPr>
        <w:spacing w:line="360" w:lineRule="auto"/>
        <w:ind w:left="567" w:hanging="567"/>
        <w:jc w:val="both"/>
        <w:rPr>
          <w:rFonts w:ascii="Arial" w:hAnsi="Arial"/>
          <w:rtl/>
        </w:rPr>
      </w:pPr>
      <w:r>
        <w:rPr>
          <w:rFonts w:ascii="Arial" w:hAnsi="Arial"/>
          <w:rtl/>
        </w:rPr>
        <w:t xml:space="preserve">חיזוק לגרסתה של הנתבעת לגבי חששה הסובייקטיבי מפני התובע מצאתי גם בעדות העו"ס בחקירתה אשר העידה במפורש כי התרשמה שנתבעת פחדה מפני התובע (ראו: פרוטוקול מיום 20.5.24 עמ' 78 שורות 28-30). </w:t>
      </w:r>
    </w:p>
    <w:p w:rsidR="001F6EC9" w:rsidRDefault="001F6EC9" w:rsidP="001F6EC9">
      <w:pPr>
        <w:pStyle w:val="ad"/>
        <w:spacing w:line="360" w:lineRule="auto"/>
        <w:rPr>
          <w:rFonts w:ascii="Arial" w:hAnsi="Arial"/>
        </w:rPr>
      </w:pPr>
    </w:p>
    <w:p w:rsidR="001F6EC9" w:rsidRDefault="001924E8" w:rsidP="001F6EC9">
      <w:pPr>
        <w:pStyle w:val="ad"/>
        <w:numPr>
          <w:ilvl w:val="0"/>
          <w:numId w:val="1"/>
        </w:numPr>
        <w:spacing w:line="360" w:lineRule="auto"/>
        <w:ind w:left="567" w:hanging="567"/>
        <w:jc w:val="both"/>
        <w:rPr>
          <w:rFonts w:ascii="Arial" w:hAnsi="Arial"/>
          <w:rtl/>
        </w:rPr>
      </w:pPr>
      <w:r>
        <w:rPr>
          <w:rFonts w:ascii="Arial" w:hAnsi="Arial"/>
          <w:rtl/>
        </w:rPr>
        <w:t>התרשמותה של העו"ס כי היחסים בין הצדדים סוערים וכי האם חוששת מפניו קיבלה ביטוי מפורש גם בתסקיר מיום 12.8.20 שם נכתב בין היתר כי:</w:t>
      </w:r>
    </w:p>
    <w:p w:rsidR="001F6EC9" w:rsidRDefault="001924E8" w:rsidP="001F6EC9">
      <w:pPr>
        <w:pStyle w:val="ad"/>
        <w:spacing w:line="360" w:lineRule="auto"/>
        <w:ind w:left="567"/>
        <w:jc w:val="both"/>
        <w:rPr>
          <w:rFonts w:ascii="Arial" w:hAnsi="Arial"/>
          <w:b/>
          <w:bCs/>
        </w:rPr>
      </w:pPr>
      <w:r>
        <w:rPr>
          <w:rFonts w:ascii="Arial" w:hAnsi="Arial"/>
          <w:rtl/>
        </w:rPr>
        <w:t>"</w:t>
      </w:r>
      <w:r>
        <w:rPr>
          <w:rFonts w:ascii="Arial" w:hAnsi="Arial"/>
          <w:b/>
          <w:bCs/>
          <w:rtl/>
        </w:rPr>
        <w:t xml:space="preserve">ההורים נמצאים בראשיתה של פרידה זה מזו המתאפיינת בחיכוכים רבים ביניהם הבאים לידי ביטוי בויכוחים סוערים הכוללים גם אלימות מילולית והכל בנוכחות בתם הרכה בשנים" (ראו: פסקה 4 לתסקיר מיום 12.8.20) </w:t>
      </w:r>
    </w:p>
    <w:p w:rsidR="001F6EC9" w:rsidRDefault="001924E8" w:rsidP="001F6EC9">
      <w:pPr>
        <w:pStyle w:val="ad"/>
        <w:spacing w:line="360" w:lineRule="auto"/>
        <w:ind w:left="567"/>
        <w:jc w:val="both"/>
        <w:rPr>
          <w:rFonts w:ascii="Arial" w:hAnsi="Arial"/>
          <w:b/>
          <w:bCs/>
          <w:rtl/>
        </w:rPr>
      </w:pPr>
      <w:r>
        <w:rPr>
          <w:rFonts w:ascii="Arial" w:hAnsi="Arial"/>
          <w:b/>
          <w:bCs/>
          <w:rtl/>
        </w:rPr>
        <w:t xml:space="preserve">"האם מביעה חשש כבד מפני האב ולכן מונעת את קיום המפגשים" (ראו: פסקה 7 לתסקיר מיום 12.8.20) </w:t>
      </w:r>
    </w:p>
    <w:p w:rsidR="001F6EC9" w:rsidRDefault="001924E8" w:rsidP="001F6EC9">
      <w:pPr>
        <w:pStyle w:val="ad"/>
        <w:spacing w:line="360" w:lineRule="auto"/>
        <w:ind w:left="567"/>
        <w:jc w:val="both"/>
        <w:rPr>
          <w:rFonts w:ascii="Arial" w:hAnsi="Arial"/>
          <w:rtl/>
        </w:rPr>
      </w:pPr>
      <w:r>
        <w:rPr>
          <w:rFonts w:ascii="Arial" w:hAnsi="Arial"/>
          <w:b/>
          <w:bCs/>
          <w:rtl/>
        </w:rPr>
        <w:t>"נראה כי האב מתקשה לווסת את רגשותיו, בייחוד בעת מפגש עם האם באופן הבא לידי ביטוי בתגובות בלתי הולמות ובכעס</w:t>
      </w:r>
      <w:r>
        <w:rPr>
          <w:rFonts w:ascii="Arial" w:hAnsi="Arial"/>
          <w:rtl/>
        </w:rPr>
        <w:t>" (ראו: פסקה 7 לתסקיר מיום 12.8.20).</w:t>
      </w:r>
    </w:p>
    <w:p w:rsidR="001F6EC9" w:rsidRDefault="001F6EC9" w:rsidP="001F6EC9">
      <w:pPr>
        <w:pStyle w:val="ad"/>
        <w:spacing w:line="360" w:lineRule="auto"/>
        <w:rPr>
          <w:rFonts w:ascii="Arial" w:hAnsi="Arial"/>
          <w:rtl/>
        </w:rPr>
      </w:pPr>
    </w:p>
    <w:p w:rsidR="001F6EC9" w:rsidRDefault="001924E8" w:rsidP="001F6EC9">
      <w:pPr>
        <w:pStyle w:val="ad"/>
        <w:numPr>
          <w:ilvl w:val="0"/>
          <w:numId w:val="1"/>
        </w:numPr>
        <w:spacing w:line="360" w:lineRule="auto"/>
        <w:ind w:left="567" w:hanging="567"/>
        <w:jc w:val="both"/>
        <w:rPr>
          <w:rFonts w:ascii="Arial" w:hAnsi="Arial"/>
          <w:rtl/>
        </w:rPr>
      </w:pPr>
      <w:r>
        <w:rPr>
          <w:rFonts w:ascii="Arial" w:hAnsi="Arial"/>
          <w:rtl/>
        </w:rPr>
        <w:t xml:space="preserve">גם בעדותה </w:t>
      </w:r>
      <w:r>
        <w:rPr>
          <w:rFonts w:ascii="Arial" w:hAnsi="Arial"/>
          <w:b/>
          <w:bCs/>
          <w:rtl/>
        </w:rPr>
        <w:t>אמה של הנתבעת</w:t>
      </w:r>
      <w:r>
        <w:rPr>
          <w:rFonts w:ascii="Arial" w:hAnsi="Arial"/>
          <w:rtl/>
        </w:rPr>
        <w:t xml:space="preserve"> מצאתי חיזוק לגרסת הנתבעת לפיה הנתבעת והוריה חששו מפני התובע אשר התנהג באופן לא צפוי, קילל והילך אימים על הנתבעת והוריה למצער מנקודת מבטם הסובייקטיבית. </w:t>
      </w:r>
    </w:p>
    <w:p w:rsidR="001F6EC9" w:rsidRDefault="001F6EC9" w:rsidP="001F6EC9">
      <w:pPr>
        <w:pStyle w:val="ad"/>
        <w:spacing w:line="360" w:lineRule="auto"/>
        <w:ind w:left="567"/>
        <w:jc w:val="both"/>
        <w:rPr>
          <w:rFonts w:ascii="Arial" w:hAnsi="Arial"/>
        </w:rPr>
      </w:pPr>
    </w:p>
    <w:p w:rsidR="001F6EC9" w:rsidRDefault="001924E8" w:rsidP="001F6EC9">
      <w:pPr>
        <w:pStyle w:val="ad"/>
        <w:numPr>
          <w:ilvl w:val="0"/>
          <w:numId w:val="1"/>
        </w:numPr>
        <w:spacing w:line="360" w:lineRule="auto"/>
        <w:ind w:left="567" w:hanging="567"/>
        <w:jc w:val="both"/>
        <w:rPr>
          <w:rFonts w:ascii="Arial" w:hAnsi="Arial"/>
        </w:rPr>
      </w:pPr>
      <w:r>
        <w:rPr>
          <w:rFonts w:ascii="Arial" w:hAnsi="Arial"/>
          <w:rtl/>
        </w:rPr>
        <w:t xml:space="preserve">יודגש כי במסגרת פסק הדין איני נדרשת לקבוע האם האירועים שבגינם הוגשו התלונות אכן התרחשו ומה אירע בהם, כי אם נדרש לבחון את שאלת תום ליבה של הנתבעת במועד הגשת התלונות והפניה למרכז וזאת על פי חומר הראיות שהונח בפניי והתרשמותי מהצדדים ועדיהם. </w:t>
      </w:r>
    </w:p>
    <w:p w:rsidR="001F6EC9" w:rsidRDefault="001F6EC9" w:rsidP="001F6EC9">
      <w:pPr>
        <w:pStyle w:val="ad"/>
        <w:rPr>
          <w:rFonts w:ascii="Arial" w:hAnsi="Arial"/>
        </w:rPr>
      </w:pPr>
    </w:p>
    <w:p w:rsidR="001F6EC9" w:rsidRDefault="001924E8" w:rsidP="001F6EC9">
      <w:pPr>
        <w:pStyle w:val="ad"/>
        <w:numPr>
          <w:ilvl w:val="0"/>
          <w:numId w:val="1"/>
        </w:numPr>
        <w:spacing w:line="360" w:lineRule="auto"/>
        <w:ind w:left="567" w:hanging="567"/>
        <w:jc w:val="both"/>
        <w:rPr>
          <w:rFonts w:ascii="Arial" w:hAnsi="Arial"/>
          <w:rtl/>
        </w:rPr>
      </w:pPr>
      <w:r>
        <w:rPr>
          <w:rFonts w:ascii="Arial" w:hAnsi="Arial"/>
          <w:rtl/>
        </w:rPr>
        <w:t xml:space="preserve">בכל הנוגע לעדותו של התובע ההתרשמות הינה כי הוא מגן על התנהגותו במלואה, אינו רואה בה כל פסול, היה נסער וכועס גם במהלך עדותו וסבור כי העוול נגרם רק לו. אין הוא רואה את מורכבות התמונה ואת בתו שהייתה בטווח בין הצדדים. אל מול תמונה מורכבת שהוצגה על ידי הנתבעת הדברים שהוצגו על ידי התובע היו חד צדדים ובמידה רבה גם חד מימדיים לפי תפיסתו את התלונות. </w:t>
      </w:r>
    </w:p>
    <w:p w:rsidR="001F6EC9" w:rsidRDefault="001F6EC9" w:rsidP="001F6EC9">
      <w:pPr>
        <w:pStyle w:val="ad"/>
        <w:spacing w:line="360" w:lineRule="auto"/>
        <w:rPr>
          <w:rFonts w:ascii="Arial" w:hAnsi="Arial"/>
        </w:rPr>
      </w:pPr>
    </w:p>
    <w:p w:rsidR="001F6EC9" w:rsidRDefault="001924E8" w:rsidP="001F6EC9">
      <w:pPr>
        <w:pStyle w:val="ad"/>
        <w:spacing w:line="360" w:lineRule="auto"/>
        <w:ind w:left="567"/>
        <w:jc w:val="both"/>
        <w:rPr>
          <w:rFonts w:ascii="Arial" w:hAnsi="Arial"/>
          <w:b/>
          <w:bCs/>
          <w:u w:val="single"/>
          <w:rtl/>
        </w:rPr>
      </w:pPr>
      <w:r>
        <w:rPr>
          <w:rFonts w:ascii="Arial" w:hAnsi="Arial"/>
          <w:b/>
          <w:bCs/>
          <w:u w:val="single"/>
          <w:rtl/>
        </w:rPr>
        <w:t xml:space="preserve">התלונה הראשונה </w:t>
      </w:r>
    </w:p>
    <w:p w:rsidR="001F6EC9" w:rsidRDefault="001F6EC9" w:rsidP="001F6EC9">
      <w:pPr>
        <w:pStyle w:val="ad"/>
        <w:spacing w:line="360" w:lineRule="auto"/>
        <w:rPr>
          <w:rFonts w:ascii="Arial" w:hAnsi="Arial"/>
        </w:rPr>
      </w:pPr>
    </w:p>
    <w:p w:rsidR="001F6EC9" w:rsidRDefault="001924E8" w:rsidP="001F6EC9">
      <w:pPr>
        <w:pStyle w:val="ad"/>
        <w:numPr>
          <w:ilvl w:val="0"/>
          <w:numId w:val="1"/>
        </w:numPr>
        <w:spacing w:line="360" w:lineRule="auto"/>
        <w:ind w:left="567" w:hanging="567"/>
        <w:jc w:val="both"/>
        <w:rPr>
          <w:rFonts w:ascii="Arial" w:hAnsi="Arial"/>
          <w:rtl/>
        </w:rPr>
      </w:pPr>
      <w:r>
        <w:rPr>
          <w:rFonts w:ascii="Arial" w:hAnsi="Arial"/>
          <w:rtl/>
        </w:rPr>
        <w:lastRenderedPageBreak/>
        <w:t xml:space="preserve">התלונה הראשונה הוגשה על ידי הנתבעת ביום 28.3.20 לאחר שהתובע הגיע לבית הוריה של הנתבעת יום לאחר עזיבתה את הדירה המשותפת ביחד עם הקטינה ובסמוך לאחר ששלח לה את ההודעות הבאות:  </w:t>
      </w:r>
    </w:p>
    <w:p w:rsidR="001F6EC9" w:rsidRDefault="0047295D" w:rsidP="008A3446">
      <w:pPr>
        <w:pStyle w:val="ad"/>
        <w:spacing w:line="360" w:lineRule="auto"/>
        <w:ind w:left="567"/>
        <w:jc w:val="both"/>
        <w:rPr>
          <w:rFonts w:ascii="Arial" w:hAnsi="Arial"/>
        </w:rPr>
      </w:pPr>
      <w:r w:rsidRPr="0047295D">
        <w:rPr>
          <w:rFonts w:ascii="Arial" w:hAnsi="Arial"/>
          <w:rtl/>
        </w:rPr>
        <w:drawing>
          <wp:inline distT="0" distB="0" distL="0" distR="0">
            <wp:extent cx="2687320" cy="2838450"/>
            <wp:effectExtent l="0" t="0" r="0"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7320" cy="2838450"/>
                    </a:xfrm>
                    <a:prstGeom prst="rect">
                      <a:avLst/>
                    </a:prstGeom>
                    <a:noFill/>
                    <a:ln>
                      <a:noFill/>
                    </a:ln>
                  </pic:spPr>
                </pic:pic>
              </a:graphicData>
            </a:graphic>
          </wp:inline>
        </w:drawing>
      </w:r>
    </w:p>
    <w:p w:rsidR="001F6EC9" w:rsidRDefault="0047295D" w:rsidP="001F6EC9">
      <w:pPr>
        <w:pStyle w:val="ad"/>
        <w:spacing w:line="360" w:lineRule="auto"/>
        <w:ind w:left="567"/>
        <w:jc w:val="both"/>
        <w:rPr>
          <w:rFonts w:ascii="Arial" w:hAnsi="Arial"/>
          <w:rtl/>
        </w:rPr>
      </w:pPr>
      <w:r w:rsidRPr="0047295D">
        <w:rPr>
          <w:rFonts w:ascii="Arial" w:hAnsi="Arial" w:hint="cs"/>
          <w:rtl/>
        </w:rPr>
        <w:drawing>
          <wp:inline distT="0" distB="0" distL="0" distR="0">
            <wp:extent cx="2886075" cy="3077210"/>
            <wp:effectExtent l="0" t="0" r="9525" b="889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86075" cy="3077210"/>
                    </a:xfrm>
                    <a:prstGeom prst="rect">
                      <a:avLst/>
                    </a:prstGeom>
                    <a:noFill/>
                    <a:ln>
                      <a:noFill/>
                    </a:ln>
                  </pic:spPr>
                </pic:pic>
              </a:graphicData>
            </a:graphic>
          </wp:inline>
        </w:drawing>
      </w:r>
    </w:p>
    <w:p w:rsidR="001F6EC9" w:rsidRDefault="001924E8" w:rsidP="001F6EC9">
      <w:pPr>
        <w:pStyle w:val="ad"/>
        <w:numPr>
          <w:ilvl w:val="0"/>
          <w:numId w:val="1"/>
        </w:numPr>
        <w:spacing w:line="360" w:lineRule="auto"/>
        <w:ind w:left="567" w:hanging="567"/>
        <w:jc w:val="both"/>
        <w:rPr>
          <w:rFonts w:ascii="Arial" w:hAnsi="Arial"/>
        </w:rPr>
      </w:pPr>
      <w:r>
        <w:rPr>
          <w:rFonts w:ascii="Arial" w:hAnsi="Arial"/>
          <w:rtl/>
        </w:rPr>
        <w:t xml:space="preserve">לשון ההודעות, החזרתיות וחוסר היכולת לעצור – מעידים על מצבו של התובע באותה העת ועל הסקת המסקנות שיכולה הייתה הנתבעת להסיק באופן אובייקטיבי וסובייקטיבי מרמת הקונפליקט בין הצדדים ומרמת כעסו של התובע כלפיה ומהאמירות המפורשות של התובע כלפיה מה יתרחש היה ולא תבצע את שהוא דורש ממנה. </w:t>
      </w:r>
    </w:p>
    <w:p w:rsidR="001F6EC9" w:rsidRDefault="001F6EC9" w:rsidP="001F6EC9">
      <w:pPr>
        <w:pStyle w:val="ad"/>
        <w:spacing w:line="360" w:lineRule="auto"/>
        <w:ind w:left="567"/>
        <w:jc w:val="both"/>
        <w:rPr>
          <w:rFonts w:ascii="Arial" w:hAnsi="Arial"/>
        </w:rPr>
      </w:pPr>
    </w:p>
    <w:p w:rsidR="001F6EC9" w:rsidRDefault="001924E8" w:rsidP="001F6EC9">
      <w:pPr>
        <w:pStyle w:val="ad"/>
        <w:numPr>
          <w:ilvl w:val="0"/>
          <w:numId w:val="1"/>
        </w:numPr>
        <w:spacing w:line="360" w:lineRule="auto"/>
        <w:ind w:left="567" w:hanging="567"/>
        <w:jc w:val="both"/>
        <w:rPr>
          <w:rFonts w:ascii="Arial" w:hAnsi="Arial"/>
        </w:rPr>
      </w:pPr>
      <w:r>
        <w:rPr>
          <w:rFonts w:ascii="Arial" w:hAnsi="Arial"/>
          <w:rtl/>
        </w:rPr>
        <w:lastRenderedPageBreak/>
        <w:t xml:space="preserve">בחקירתה בדיון שנערך בפניי העידה </w:t>
      </w:r>
      <w:r>
        <w:rPr>
          <w:rFonts w:ascii="Arial" w:hAnsi="Arial"/>
          <w:b/>
          <w:bCs/>
          <w:rtl/>
        </w:rPr>
        <w:t>הנתבעת</w:t>
      </w:r>
      <w:r>
        <w:rPr>
          <w:rFonts w:ascii="Arial" w:hAnsi="Arial"/>
          <w:rtl/>
        </w:rPr>
        <w:t xml:space="preserve"> כי בסמוך לפרידת הצדדים נהג התובע לכנות אותה תדיר בכינויי גנאי ולאיים עליה סביב רצונה בפרידה (ראו: פרוטוקול מיום 28.1.24, עמ' 44) וכי בשל חששה מפני התובע עזבה את הדירה המשותפת ביחד עם הקטינה בשעת בוקר מוקדמת בעת שהתובע נם את שנתו (ראו: פרוטוקול מיום 28.1.24, עמ' 45). </w:t>
      </w:r>
    </w:p>
    <w:p w:rsidR="001F6EC9" w:rsidRDefault="001F6EC9" w:rsidP="001F6EC9">
      <w:pPr>
        <w:pStyle w:val="ad"/>
        <w:spacing w:line="360" w:lineRule="auto"/>
        <w:rPr>
          <w:rFonts w:ascii="Arial" w:hAnsi="Arial"/>
        </w:rPr>
      </w:pPr>
    </w:p>
    <w:p w:rsidR="001F6EC9" w:rsidRDefault="001924E8" w:rsidP="001F6EC9">
      <w:pPr>
        <w:pStyle w:val="ad"/>
        <w:numPr>
          <w:ilvl w:val="0"/>
          <w:numId w:val="1"/>
        </w:numPr>
        <w:spacing w:line="360" w:lineRule="auto"/>
        <w:ind w:left="567" w:hanging="567"/>
        <w:jc w:val="both"/>
        <w:rPr>
          <w:rFonts w:ascii="Arial" w:hAnsi="Arial"/>
          <w:rtl/>
        </w:rPr>
      </w:pPr>
      <w:r>
        <w:rPr>
          <w:rtl/>
        </w:rPr>
        <w:t>ב"כ התובע הקשתה בחקירתה על הנתבעת בניסיון להוכיח כי במועד הגשת התלונות הנתבעת לא חששה מפני התובע באופן מיוחד. אולם תשובותיה והסבריה העקביים של הנתבעת חיזקו את הרושם כי מנקודת מבטה הסובייקטיבית של הנתבעת היא אכן חששה מפני התובע במידה משתנה בהתאם לשינויים בהתנהגותו של התובע</w:t>
      </w:r>
      <w:r>
        <w:rPr>
          <w:rFonts w:ascii="Arial" w:hAnsi="Arial"/>
          <w:rtl/>
        </w:rPr>
        <w:t xml:space="preserve">: </w:t>
      </w:r>
    </w:p>
    <w:p w:rsidR="001F6EC9" w:rsidRDefault="001924E8" w:rsidP="001F6EC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"עו"ד לוי: כנראה את לא מרגישה באמת מאוימת.</w:t>
      </w:r>
    </w:p>
    <w:p w:rsidR="001F6EC9" w:rsidRDefault="001924E8" w:rsidP="001F6EC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העדה, </w:t>
      </w:r>
      <w:r w:rsidR="00A04A0B">
        <w:rPr>
          <w:rFonts w:ascii="David" w:hAnsi="David" w:cs="David" w:hint="cs"/>
          <w:sz w:val="24"/>
          <w:szCs w:val="24"/>
          <w:u w:val="none"/>
          <w:rtl/>
        </w:rPr>
        <w:t>הנתבעת</w:t>
      </w:r>
      <w:r>
        <w:rPr>
          <w:rFonts w:ascii="David" w:hAnsi="David" w:cs="David"/>
          <w:sz w:val="24"/>
          <w:szCs w:val="24"/>
          <w:u w:val="none"/>
          <w:rtl/>
        </w:rPr>
        <w:t>: זה לא התשובה, במשטרה אמרו לי משהו מאוד ברור, הדבר היחידי שאנחנו יכולים לתת לך זה מעון לנשים מוכות ואני לא מעוניינת להיכנס למעון לנשים מוכות, זכותי המלאה.</w:t>
      </w:r>
    </w:p>
    <w:p w:rsidR="001F6EC9" w:rsidRDefault="001924E8" w:rsidP="001F6EC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עו"ד לוי: </w:t>
      </w:r>
      <w:r>
        <w:rPr>
          <w:rFonts w:ascii="David" w:hAnsi="David" w:cs="David"/>
          <w:sz w:val="24"/>
          <w:szCs w:val="24"/>
          <w:u w:val="none"/>
          <w:rtl/>
        </w:rPr>
        <w:tab/>
        <w:t>זאת אומרת שאת לא באמת מפחדת.</w:t>
      </w:r>
    </w:p>
    <w:p w:rsidR="001F6EC9" w:rsidRDefault="001924E8" w:rsidP="001F6EC9">
      <w:pPr>
        <w:pStyle w:val="af"/>
        <w:shd w:val="clear" w:color="auto" w:fill="auto"/>
        <w:spacing w:line="360" w:lineRule="auto"/>
        <w:ind w:left="567" w:firstLine="0"/>
        <w:jc w:val="both"/>
        <w:rPr>
          <w:rFonts w:ascii="David" w:hAnsi="David" w:cs="David"/>
          <w:b w:val="0"/>
          <w:bCs w:val="0"/>
          <w:sz w:val="24"/>
          <w:szCs w:val="24"/>
          <w:u w:val="none"/>
        </w:rPr>
      </w:pPr>
      <w:r>
        <w:rPr>
          <w:rFonts w:ascii="David" w:hAnsi="David" w:cs="David"/>
          <w:sz w:val="24"/>
          <w:szCs w:val="24"/>
          <w:u w:val="none"/>
          <w:rtl/>
        </w:rPr>
        <w:t xml:space="preserve">העדה, </w:t>
      </w:r>
      <w:r w:rsidR="00A04A0B">
        <w:rPr>
          <w:rFonts w:ascii="David" w:hAnsi="David" w:cs="David" w:hint="cs"/>
          <w:sz w:val="24"/>
          <w:szCs w:val="24"/>
          <w:u w:val="none"/>
          <w:rtl/>
        </w:rPr>
        <w:t>הנתבעת</w:t>
      </w:r>
      <w:r>
        <w:rPr>
          <w:rFonts w:ascii="David" w:hAnsi="David" w:cs="David"/>
          <w:sz w:val="24"/>
          <w:szCs w:val="24"/>
          <w:u w:val="none"/>
          <w:rtl/>
        </w:rPr>
        <w:t>: זה את אומרת. הפחד תמיד קיים ותמיד יהיה והיו בו עוצמות הרבה יותר גבוהות כשהייתי אתו. כן פחדתי ממנו פחד מוות שהוא יפגע בי ובגלל זה קמתי בבוקר, לקחת את הדברים שלי וברחתי.</w:t>
      </w:r>
      <w:r>
        <w:rPr>
          <w:rFonts w:ascii="David" w:hAnsi="David" w:cs="David"/>
          <w:b w:val="0"/>
          <w:bCs w:val="0"/>
          <w:sz w:val="24"/>
          <w:szCs w:val="24"/>
          <w:u w:val="none"/>
          <w:rtl/>
        </w:rPr>
        <w:t>"</w:t>
      </w:r>
    </w:p>
    <w:p w:rsidR="001F6EC9" w:rsidRDefault="001924E8" w:rsidP="001F6EC9">
      <w:pPr>
        <w:pStyle w:val="ad"/>
        <w:spacing w:line="360" w:lineRule="auto"/>
        <w:ind w:left="567" w:right="567"/>
        <w:jc w:val="both"/>
        <w:rPr>
          <w:rFonts w:ascii="Arial" w:hAnsi="Arial"/>
        </w:rPr>
      </w:pPr>
      <w:r>
        <w:rPr>
          <w:rFonts w:ascii="Arial" w:hAnsi="Arial"/>
          <w:rtl/>
        </w:rPr>
        <w:t>(ראו: פרוטוקול מיום 28.1.24 עמ' 50-51)</w:t>
      </w:r>
    </w:p>
    <w:p w:rsidR="001F6EC9" w:rsidRDefault="001F6EC9" w:rsidP="001F6EC9">
      <w:pPr>
        <w:pStyle w:val="ad"/>
        <w:spacing w:line="360" w:lineRule="auto"/>
        <w:rPr>
          <w:rFonts w:ascii="Arial" w:hAnsi="Arial"/>
        </w:rPr>
      </w:pPr>
    </w:p>
    <w:p w:rsidR="001F6EC9" w:rsidRDefault="001924E8" w:rsidP="001F6EC9">
      <w:pPr>
        <w:pStyle w:val="ad"/>
        <w:numPr>
          <w:ilvl w:val="0"/>
          <w:numId w:val="1"/>
        </w:numPr>
        <w:spacing w:line="360" w:lineRule="auto"/>
        <w:ind w:left="567" w:hanging="567"/>
        <w:jc w:val="both"/>
        <w:rPr>
          <w:rFonts w:ascii="Arial" w:hAnsi="Arial"/>
          <w:rtl/>
        </w:rPr>
      </w:pPr>
      <w:r>
        <w:rPr>
          <w:rFonts w:ascii="Arial" w:hAnsi="Arial"/>
          <w:rtl/>
        </w:rPr>
        <w:t xml:space="preserve">גם עדותו של </w:t>
      </w:r>
      <w:r>
        <w:rPr>
          <w:rFonts w:ascii="Arial" w:hAnsi="Arial"/>
          <w:b/>
          <w:bCs/>
          <w:rtl/>
        </w:rPr>
        <w:t>התובע</w:t>
      </w:r>
      <w:r>
        <w:rPr>
          <w:rFonts w:ascii="Arial" w:hAnsi="Arial"/>
          <w:rtl/>
        </w:rPr>
        <w:t xml:space="preserve"> עצמו מחזקת את המסקנה לגבי תום ליבה של הנתבעת בעת הגשת התלונה. </w:t>
      </w:r>
      <w:r>
        <w:rPr>
          <w:rtl/>
        </w:rPr>
        <w:t xml:space="preserve">בחקירתו אישר התובע כי ביום 27.3.20 יום לפני הגשת התלונה הראשונה שלח לנתבעת הודעות קשות. עם זאת תשובותיו מעלות כי הוא ממשיך להגן על התנהלותו ולא רואה בה כל פגם. יתרה מכך תשובותיו בעניין זה היו מתממות ביותר: </w:t>
      </w:r>
    </w:p>
    <w:p w:rsidR="001F6EC9" w:rsidRDefault="001924E8" w:rsidP="008A3446">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"עו"ד גייזלר: תגיד לי האם אתה זוכר ששלחת לאשתך בתאריך 27/03/2020 "אל תזייני את המוח, גנבת, מתחיל להשתגע תעני יא זבל מסריח פח אשפה, הילדה שלי נגנבה מתחיל להשתגע, כוס של האמא שלך", סליחה גברתי, "גנבת, אחותך הזונה מרדימה את </w:t>
      </w:r>
      <w:r w:rsidR="008A3446">
        <w:rPr>
          <w:rFonts w:ascii="David" w:hAnsi="David" w:cs="David" w:hint="cs"/>
          <w:sz w:val="24"/>
          <w:szCs w:val="24"/>
          <w:u w:val="none"/>
          <w:rtl/>
        </w:rPr>
        <w:t>---</w:t>
      </w:r>
      <w:r>
        <w:rPr>
          <w:rFonts w:ascii="David" w:hAnsi="David" w:cs="David"/>
          <w:sz w:val="24"/>
          <w:szCs w:val="24"/>
          <w:u w:val="none"/>
          <w:rtl/>
        </w:rPr>
        <w:t xml:space="preserve">, שרמוטה. מחר נראה מי יעצור אותי מלקחת את </w:t>
      </w:r>
      <w:r w:rsidR="008A3446">
        <w:rPr>
          <w:rFonts w:ascii="David" w:hAnsi="David" w:cs="David" w:hint="cs"/>
          <w:sz w:val="24"/>
          <w:szCs w:val="24"/>
          <w:u w:val="none"/>
          <w:rtl/>
        </w:rPr>
        <w:t>---</w:t>
      </w:r>
      <w:r>
        <w:rPr>
          <w:rFonts w:ascii="David" w:hAnsi="David" w:cs="David"/>
          <w:sz w:val="24"/>
          <w:szCs w:val="24"/>
          <w:u w:val="none"/>
          <w:rtl/>
        </w:rPr>
        <w:t>, שרמוטה גנבת יום שישי הזה שאני בלי הבת שלי בסגר מתחיל להשתגע מחליף צילינדר יא זבל מהלך". האם אתה זוכר ששלחת לאשתך את ההודעות האלה?</w:t>
      </w:r>
    </w:p>
    <w:p w:rsidR="001F6EC9" w:rsidRDefault="001924E8" w:rsidP="001F6EC9">
      <w:pPr>
        <w:pStyle w:val="af"/>
        <w:shd w:val="clear" w:color="auto" w:fill="auto"/>
        <w:spacing w:line="360" w:lineRule="auto"/>
        <w:ind w:left="567" w:firstLine="0"/>
        <w:jc w:val="both"/>
        <w:rPr>
          <w:rFonts w:ascii="David" w:hAnsi="David" w:cs="David"/>
          <w:sz w:val="24"/>
          <w:szCs w:val="24"/>
          <w:u w:val="none"/>
        </w:rPr>
      </w:pPr>
      <w:r>
        <w:rPr>
          <w:rFonts w:ascii="David" w:hAnsi="David" w:cs="David"/>
          <w:sz w:val="24"/>
          <w:szCs w:val="24"/>
          <w:u w:val="none"/>
          <w:rtl/>
        </w:rPr>
        <w:t xml:space="preserve">העד, </w:t>
      </w:r>
      <w:r w:rsidR="00A04A0B">
        <w:rPr>
          <w:rFonts w:ascii="David" w:hAnsi="David" w:cs="David" w:hint="cs"/>
          <w:sz w:val="24"/>
          <w:szCs w:val="24"/>
          <w:u w:val="none"/>
          <w:rtl/>
        </w:rPr>
        <w:t>התובע</w:t>
      </w:r>
      <w:r>
        <w:rPr>
          <w:rFonts w:ascii="David" w:hAnsi="David" w:cs="David"/>
          <w:sz w:val="24"/>
          <w:szCs w:val="24"/>
          <w:u w:val="none"/>
          <w:rtl/>
        </w:rPr>
        <w:t>:  איפה האיום? [...] שלחתי. איפה האיום פה?"</w:t>
      </w:r>
    </w:p>
    <w:p w:rsidR="001F6EC9" w:rsidRDefault="001924E8" w:rsidP="001F6EC9">
      <w:pPr>
        <w:pStyle w:val="ad"/>
        <w:spacing w:line="360" w:lineRule="auto"/>
        <w:ind w:left="567"/>
        <w:jc w:val="both"/>
        <w:rPr>
          <w:rFonts w:ascii="David" w:eastAsiaTheme="minorHAnsi" w:hAnsi="David"/>
          <w:lang w:eastAsia="he-IL"/>
        </w:rPr>
      </w:pPr>
      <w:r>
        <w:rPr>
          <w:rFonts w:ascii="David" w:eastAsiaTheme="minorHAnsi" w:hAnsi="David"/>
          <w:rtl/>
          <w:lang w:eastAsia="he-IL"/>
        </w:rPr>
        <w:t xml:space="preserve"> (ראו: פרוטוקול מיום 28.1.24, עמ' 26)</w:t>
      </w:r>
    </w:p>
    <w:p w:rsidR="001F6EC9" w:rsidRDefault="001F6EC9" w:rsidP="001F6EC9">
      <w:pPr>
        <w:spacing w:line="360" w:lineRule="auto"/>
        <w:jc w:val="both"/>
        <w:rPr>
          <w:rFonts w:ascii="Arial" w:hAnsi="Arial"/>
        </w:rPr>
      </w:pPr>
    </w:p>
    <w:p w:rsidR="001F6EC9" w:rsidRDefault="001924E8" w:rsidP="001F6EC9">
      <w:pPr>
        <w:pStyle w:val="ad"/>
        <w:numPr>
          <w:ilvl w:val="0"/>
          <w:numId w:val="1"/>
        </w:numPr>
        <w:spacing w:line="360" w:lineRule="auto"/>
        <w:ind w:left="567" w:hanging="567"/>
        <w:jc w:val="both"/>
        <w:rPr>
          <w:rFonts w:ascii="Arial" w:hAnsi="Arial"/>
        </w:rPr>
      </w:pPr>
      <w:r>
        <w:rPr>
          <w:rFonts w:ascii="David" w:eastAsiaTheme="minorHAnsi" w:hAnsi="David"/>
          <w:b/>
          <w:bCs/>
          <w:rtl/>
          <w:lang w:eastAsia="he-IL"/>
        </w:rPr>
        <w:lastRenderedPageBreak/>
        <w:t>התובע</w:t>
      </w:r>
      <w:r>
        <w:rPr>
          <w:rFonts w:ascii="David" w:eastAsiaTheme="minorHAnsi" w:hAnsi="David"/>
          <w:rtl/>
          <w:lang w:eastAsia="he-IL"/>
        </w:rPr>
        <w:t xml:space="preserve"> אישר בחקירתו כי ההודעות ששלח לנתבעת יום לפני הגשת התלונה כוללות קללות ומהוות הטרדה, אך חזר וטען כי לא מדובר באיומים בניגוד לנטען בתלונת הנתבעת במשטרה (ראו: פרוטוקול מיום 28.1.24 עמ' 27). </w:t>
      </w:r>
    </w:p>
    <w:p w:rsidR="001F6EC9" w:rsidRDefault="001F6EC9" w:rsidP="001F6EC9">
      <w:pPr>
        <w:pStyle w:val="ad"/>
        <w:spacing w:line="360" w:lineRule="auto"/>
        <w:ind w:left="567"/>
        <w:jc w:val="both"/>
        <w:rPr>
          <w:rFonts w:ascii="Arial" w:hAnsi="Arial"/>
        </w:rPr>
      </w:pPr>
    </w:p>
    <w:p w:rsidR="001F6EC9" w:rsidRDefault="001924E8" w:rsidP="001F6EC9">
      <w:pPr>
        <w:pStyle w:val="ad"/>
        <w:numPr>
          <w:ilvl w:val="0"/>
          <w:numId w:val="1"/>
        </w:numPr>
        <w:spacing w:line="360" w:lineRule="auto"/>
        <w:ind w:left="567" w:hanging="567"/>
        <w:jc w:val="both"/>
        <w:rPr>
          <w:rFonts w:ascii="Arial" w:hAnsi="Arial"/>
        </w:rPr>
      </w:pPr>
      <w:r>
        <w:rPr>
          <w:rFonts w:ascii="David" w:eastAsiaTheme="minorHAnsi" w:hAnsi="David"/>
          <w:rtl/>
          <w:lang w:eastAsia="he-IL"/>
        </w:rPr>
        <w:t xml:space="preserve">כמו כן </w:t>
      </w:r>
      <w:r>
        <w:rPr>
          <w:rFonts w:ascii="David" w:eastAsiaTheme="minorHAnsi" w:hAnsi="David"/>
          <w:b/>
          <w:bCs/>
          <w:rtl/>
          <w:lang w:eastAsia="he-IL"/>
        </w:rPr>
        <w:t>התובע</w:t>
      </w:r>
      <w:r>
        <w:rPr>
          <w:rFonts w:ascii="David" w:eastAsiaTheme="minorHAnsi" w:hAnsi="David"/>
          <w:rtl/>
          <w:lang w:eastAsia="he-IL"/>
        </w:rPr>
        <w:t xml:space="preserve"> אישר בחקירתו כי ביום הגשת התלונה שלח לנתבעת הודעה כי בכוונתו להגיע לרחוב בו מתגוררים הוריה "לדפוק צרחות" (ראו: פרוטוקול מיום 28.1.24 עמ' 27). התובע הסביר שהיה עצבני כאשר שלח את ההודעה וטען כי אין המדובר באיום (ראו: פרוטוקול מיום 28.1.24 עמ' 27). </w:t>
      </w:r>
      <w:r>
        <w:rPr>
          <w:rFonts w:ascii="Arial" w:hAnsi="Arial"/>
          <w:rtl/>
        </w:rPr>
        <w:t>ויודגש – אין מדובר בתביעה שהגישה הנתבעת כלפי התובע אלא בתובע המגן על התנהלותו זו ומבקש סעד לפי חוק איסור לשון הרע על העוול שנגרם לו לשיטתו.</w:t>
      </w:r>
    </w:p>
    <w:p w:rsidR="001F6EC9" w:rsidRDefault="001F6EC9" w:rsidP="001F6EC9">
      <w:pPr>
        <w:pStyle w:val="ad"/>
        <w:spacing w:line="360" w:lineRule="auto"/>
        <w:rPr>
          <w:rFonts w:ascii="Arial" w:hAnsi="Arial"/>
        </w:rPr>
      </w:pPr>
    </w:p>
    <w:p w:rsidR="001F6EC9" w:rsidRDefault="001924E8" w:rsidP="001F6EC9">
      <w:pPr>
        <w:pStyle w:val="ad"/>
        <w:numPr>
          <w:ilvl w:val="0"/>
          <w:numId w:val="1"/>
        </w:numPr>
        <w:spacing w:line="360" w:lineRule="auto"/>
        <w:ind w:left="567" w:hanging="567"/>
        <w:jc w:val="both"/>
        <w:rPr>
          <w:rFonts w:ascii="Arial" w:hAnsi="Arial"/>
          <w:rtl/>
        </w:rPr>
      </w:pPr>
      <w:r>
        <w:rPr>
          <w:rFonts w:ascii="Arial" w:hAnsi="Arial"/>
          <w:rtl/>
        </w:rPr>
        <w:t>חיזוק נוסף למסקנה בדבר תום ליבה של הנתבעת עת הגישה את התלונה נמצא בדו"ח שנערך במועד הגשת התלונה וצורף ע"י שני הצדדים לתצע"ר בו תיאר השוטר שהגיע למקום את פרטי האירוע ואת התרשמותו בזמן אמת.</w:t>
      </w:r>
      <w:r>
        <w:rPr>
          <w:rFonts w:ascii="Arial" w:hAnsi="Arial"/>
          <w:b/>
          <w:bCs/>
          <w:rtl/>
        </w:rPr>
        <w:t xml:space="preserve"> </w:t>
      </w:r>
      <w:r>
        <w:rPr>
          <w:rFonts w:ascii="Arial" w:hAnsi="Arial"/>
          <w:rtl/>
        </w:rPr>
        <w:t xml:space="preserve">על הנתבעת כתב כי היא "נראית נסערת ומפוחדת" וכן "אציין כי הוריה ואחותה של האישה היו במקום וטענו שהבעל נכנס בכוח למקום והיו נראים מפוחדים". מדובר בדברים שנכתבו בזמן אמת ואיש מהצדדים לא טעם כנגד קבילותם. המשקל שיש לתת להם הוא רב. </w:t>
      </w:r>
    </w:p>
    <w:p w:rsidR="001F6EC9" w:rsidRDefault="001F6EC9" w:rsidP="001F6EC9">
      <w:pPr>
        <w:pStyle w:val="ad"/>
        <w:spacing w:line="360" w:lineRule="auto"/>
        <w:rPr>
          <w:rFonts w:ascii="Arial" w:hAnsi="Arial"/>
        </w:rPr>
      </w:pPr>
    </w:p>
    <w:p w:rsidR="001F6EC9" w:rsidRDefault="001924E8" w:rsidP="001F6EC9">
      <w:pPr>
        <w:spacing w:line="360" w:lineRule="auto"/>
        <w:ind w:left="567"/>
        <w:jc w:val="both"/>
        <w:rPr>
          <w:rFonts w:ascii="Arial" w:hAnsi="Arial"/>
          <w:b/>
          <w:bCs/>
          <w:noProof w:val="0"/>
          <w:u w:val="single"/>
          <w:rtl/>
        </w:rPr>
      </w:pPr>
      <w:r>
        <w:rPr>
          <w:rFonts w:ascii="Arial" w:hAnsi="Arial"/>
          <w:b/>
          <w:bCs/>
          <w:noProof w:val="0"/>
          <w:u w:val="single"/>
          <w:rtl/>
        </w:rPr>
        <w:t>התלונה השנייה</w:t>
      </w:r>
    </w:p>
    <w:p w:rsidR="001F6EC9" w:rsidRDefault="001F6EC9" w:rsidP="001F6EC9">
      <w:pPr>
        <w:pStyle w:val="ad"/>
        <w:spacing w:line="360" w:lineRule="auto"/>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tl/>
        </w:rPr>
      </w:pPr>
      <w:r>
        <w:rPr>
          <w:rFonts w:ascii="Arial" w:hAnsi="Arial"/>
          <w:rtl/>
        </w:rPr>
        <w:t xml:space="preserve">התלונה השנייה הוגשה על ידי הנתבעת ביום 18.7.20 </w:t>
      </w:r>
      <w:r>
        <w:rPr>
          <w:rFonts w:ascii="Arial" w:hAnsi="Arial"/>
          <w:noProof w:val="0"/>
          <w:rtl/>
        </w:rPr>
        <w:t xml:space="preserve">לאחר תקרית שאירעה בין הצדדים בעת ששהו עם הקטינה בגינה ציבורית. </w:t>
      </w:r>
    </w:p>
    <w:p w:rsidR="001F6EC9" w:rsidRDefault="001F6EC9" w:rsidP="001F6EC9">
      <w:pPr>
        <w:pStyle w:val="ad"/>
        <w:spacing w:line="360" w:lineRule="auto"/>
        <w:ind w:left="567"/>
        <w:jc w:val="both"/>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rPr>
      </w:pPr>
      <w:r>
        <w:rPr>
          <w:rtl/>
        </w:rPr>
        <w:t xml:space="preserve">הנתבעת בחקירתה תיארה את האירוע שבגינו הגישה את התלונה השניה באופן מפורט וסדור. </w:t>
      </w:r>
      <w:r>
        <w:rPr>
          <w:rFonts w:ascii="Arial" w:hAnsi="Arial"/>
          <w:rtl/>
        </w:rPr>
        <w:t xml:space="preserve">הנתבעת העידה כי התובע קרא לה בשמות גנאי בנוכחות הקטינה, אימה וזרים ששהו בגינה תוך שהקטינה בוכה בקול והוא אוחז בכוח בעגלה של הקטינה (ראו: פרוטוקול מיום 28.1.24 עמ' 60). </w:t>
      </w:r>
    </w:p>
    <w:p w:rsidR="001F6EC9" w:rsidRDefault="001F6EC9" w:rsidP="001F6EC9">
      <w:pPr>
        <w:pStyle w:val="ad"/>
        <w:spacing w:line="360" w:lineRule="auto"/>
        <w:rPr>
          <w:rFonts w:ascii="Arial" w:hAnsi="Arial"/>
        </w:rPr>
      </w:pPr>
    </w:p>
    <w:p w:rsidR="001F6EC9" w:rsidRDefault="001924E8" w:rsidP="001F6EC9">
      <w:pPr>
        <w:pStyle w:val="ad"/>
        <w:numPr>
          <w:ilvl w:val="0"/>
          <w:numId w:val="1"/>
        </w:numPr>
        <w:spacing w:line="360" w:lineRule="auto"/>
        <w:ind w:left="567" w:hanging="567"/>
        <w:jc w:val="both"/>
        <w:rPr>
          <w:rFonts w:ascii="Arial" w:hAnsi="Arial"/>
          <w:rtl/>
        </w:rPr>
      </w:pPr>
      <w:r w:rsidRPr="001924E8">
        <w:rPr>
          <w:rFonts w:ascii="Arial" w:hAnsi="Arial"/>
          <w:rtl/>
        </w:rPr>
        <w:t xml:space="preserve">עוד העידו בפניי שני עדים בלתי קשורים </w:t>
      </w:r>
      <w:r w:rsidRPr="001924E8">
        <w:rPr>
          <w:rtl/>
        </w:rPr>
        <w:t>(להלן: "</w:t>
      </w:r>
      <w:r w:rsidRPr="001924E8">
        <w:rPr>
          <w:b/>
          <w:bCs/>
          <w:rtl/>
        </w:rPr>
        <w:t xml:space="preserve">גב' </w:t>
      </w:r>
      <w:r w:rsidR="000A4AF4" w:rsidRPr="004646B5">
        <w:rPr>
          <w:b/>
          <w:bCs/>
        </w:rPr>
        <w:t>XXX</w:t>
      </w:r>
      <w:r w:rsidR="000A4AF4" w:rsidRPr="001924E8">
        <w:rPr>
          <w:b/>
          <w:bCs/>
          <w:rtl/>
        </w:rPr>
        <w:t xml:space="preserve"> </w:t>
      </w:r>
      <w:r w:rsidRPr="001924E8">
        <w:rPr>
          <w:b/>
          <w:bCs/>
          <w:rtl/>
        </w:rPr>
        <w:t xml:space="preserve">ומר </w:t>
      </w:r>
      <w:r w:rsidR="000A4AF4" w:rsidRPr="001924E8">
        <w:rPr>
          <w:b/>
          <w:bCs/>
        </w:rPr>
        <w:t>XXX</w:t>
      </w:r>
      <w:r w:rsidRPr="001924E8">
        <w:rPr>
          <w:rtl/>
        </w:rPr>
        <w:t>" וכן "</w:t>
      </w:r>
      <w:r w:rsidRPr="001924E8">
        <w:rPr>
          <w:b/>
          <w:bCs/>
          <w:rtl/>
        </w:rPr>
        <w:t xml:space="preserve">בני הזוג </w:t>
      </w:r>
      <w:r w:rsidR="000A4AF4" w:rsidRPr="001924E8">
        <w:rPr>
          <w:b/>
          <w:bCs/>
        </w:rPr>
        <w:t>XXX</w:t>
      </w:r>
      <w:r w:rsidRPr="001924E8">
        <w:rPr>
          <w:rtl/>
        </w:rPr>
        <w:t>")</w:t>
      </w:r>
      <w:r>
        <w:rPr>
          <w:rtl/>
        </w:rPr>
        <w:t xml:space="preserve"> אשר נכחו בגינה הציבורית בעת האירוע (ראו: פרוטוקול מיום 28.1.24, עמ' 10 ועמ' 11) ואשר </w:t>
      </w:r>
      <w:r>
        <w:rPr>
          <w:u w:val="single"/>
          <w:rtl/>
        </w:rPr>
        <w:t>אינם</w:t>
      </w:r>
      <w:r>
        <w:rPr>
          <w:rtl/>
        </w:rPr>
        <w:t xml:space="preserve"> מכירים את הנתבעת באופן אישי (ראו: פרוטוקול מיום 28.1.24 עמ' 10).</w:t>
      </w:r>
      <w:r>
        <w:rPr>
          <w:rFonts w:ascii="Arial" w:hAnsi="Arial"/>
          <w:rtl/>
        </w:rPr>
        <w:t xml:space="preserve"> עובדת היותם עדים בלתי תלויים שלא הכירו את הצדדים מחזקת את המשקל שיש לתת לעדותם. </w:t>
      </w:r>
    </w:p>
    <w:p w:rsidR="001F6EC9" w:rsidRDefault="001F6EC9" w:rsidP="001F6EC9">
      <w:pPr>
        <w:pStyle w:val="ad"/>
        <w:spacing w:line="360" w:lineRule="auto"/>
        <w:rPr>
          <w:rFonts w:ascii="Arial" w:hAnsi="Arial"/>
        </w:rPr>
      </w:pPr>
    </w:p>
    <w:p w:rsidR="001F6EC9" w:rsidRDefault="001924E8" w:rsidP="001F6EC9">
      <w:pPr>
        <w:pStyle w:val="ad"/>
        <w:numPr>
          <w:ilvl w:val="0"/>
          <w:numId w:val="1"/>
        </w:numPr>
        <w:spacing w:line="360" w:lineRule="auto"/>
        <w:ind w:left="567" w:hanging="567"/>
        <w:jc w:val="both"/>
        <w:rPr>
          <w:rFonts w:ascii="Arial" w:hAnsi="Arial"/>
          <w:rtl/>
        </w:rPr>
      </w:pPr>
      <w:r>
        <w:rPr>
          <w:rFonts w:ascii="Arial" w:hAnsi="Arial"/>
          <w:rtl/>
        </w:rPr>
        <w:lastRenderedPageBreak/>
        <w:t xml:space="preserve">תיאורה של הנתבעת את האירוע דומה מאד ומתיישב עם עדותם של בני הזוג </w:t>
      </w:r>
      <w:r w:rsidR="000A4AF4">
        <w:rPr>
          <w:rFonts w:ascii="Arial" w:hAnsi="Arial"/>
        </w:rPr>
        <w:t>XXX</w:t>
      </w:r>
      <w:r w:rsidR="000A4AF4">
        <w:rPr>
          <w:rFonts w:ascii="Arial" w:hAnsi="Arial"/>
          <w:rtl/>
        </w:rPr>
        <w:t xml:space="preserve"> </w:t>
      </w:r>
      <w:r>
        <w:rPr>
          <w:rFonts w:ascii="Arial" w:hAnsi="Arial"/>
          <w:rtl/>
        </w:rPr>
        <w:t xml:space="preserve">באופן מלא, וגם בכך אני מוצאת חיזוק לגירסתה של הנתבעת. </w:t>
      </w:r>
    </w:p>
    <w:p w:rsidR="001F6EC9" w:rsidRDefault="001F6EC9" w:rsidP="001F6EC9">
      <w:pPr>
        <w:pStyle w:val="ad"/>
        <w:spacing w:line="360" w:lineRule="auto"/>
        <w:rPr>
          <w:rFonts w:ascii="Arial" w:hAnsi="Arial"/>
        </w:rPr>
      </w:pPr>
    </w:p>
    <w:p w:rsidR="001F6EC9" w:rsidRPr="001924E8" w:rsidRDefault="001924E8" w:rsidP="001F6EC9">
      <w:pPr>
        <w:pStyle w:val="ad"/>
        <w:numPr>
          <w:ilvl w:val="0"/>
          <w:numId w:val="1"/>
        </w:numPr>
        <w:spacing w:line="360" w:lineRule="auto"/>
        <w:ind w:left="567" w:hanging="567"/>
        <w:jc w:val="both"/>
        <w:rPr>
          <w:rFonts w:ascii="Arial" w:hAnsi="Arial"/>
          <w:rtl/>
        </w:rPr>
      </w:pPr>
      <w:r w:rsidRPr="001924E8">
        <w:rPr>
          <w:b/>
          <w:bCs/>
          <w:rtl/>
        </w:rPr>
        <w:t xml:space="preserve">גב' </w:t>
      </w:r>
      <w:r w:rsidR="000A4AF4" w:rsidRPr="001924E8">
        <w:rPr>
          <w:b/>
          <w:bCs/>
        </w:rPr>
        <w:t>XXX</w:t>
      </w:r>
      <w:r w:rsidR="000A4AF4" w:rsidRPr="001924E8">
        <w:rPr>
          <w:rtl/>
        </w:rPr>
        <w:t xml:space="preserve"> </w:t>
      </w:r>
      <w:r w:rsidRPr="001924E8">
        <w:rPr>
          <w:rtl/>
        </w:rPr>
        <w:t xml:space="preserve">העידה כי שמעה את התובע מקלל את הנתבעת וראתה אותו יושב על ספסל ומחזיק בכוח את העגלה של הקטינה ואת הנתבעת יושבת מפוחדת בצד (ראו פרוטוקול מיום 28.1.24 עמ' 11-12) וכי היא ומר </w:t>
      </w:r>
      <w:r w:rsidR="000A4AF4" w:rsidRPr="001924E8">
        <w:t>XXX</w:t>
      </w:r>
      <w:r w:rsidR="000A4AF4" w:rsidRPr="001924E8">
        <w:rPr>
          <w:rtl/>
        </w:rPr>
        <w:t xml:space="preserve"> </w:t>
      </w:r>
      <w:r w:rsidRPr="001924E8">
        <w:rPr>
          <w:rtl/>
        </w:rPr>
        <w:t xml:space="preserve">העירו לתובע על התנהגותו (ראו: פרוטוקול מיום 28.1.24 עמ' 12). גב' </w:t>
      </w:r>
      <w:r w:rsidR="000A4AF4" w:rsidRPr="001924E8">
        <w:t>XXX</w:t>
      </w:r>
      <w:r w:rsidR="000A4AF4" w:rsidRPr="001924E8">
        <w:rPr>
          <w:rtl/>
        </w:rPr>
        <w:t xml:space="preserve"> </w:t>
      </w:r>
      <w:r w:rsidRPr="001924E8">
        <w:rPr>
          <w:rtl/>
        </w:rPr>
        <w:t xml:space="preserve">תיארה את האירוע כחריג (ראו: פרוטוקול מיום 28.1.24 עמ' 12). </w:t>
      </w:r>
    </w:p>
    <w:p w:rsidR="001F6EC9" w:rsidRPr="001924E8" w:rsidRDefault="001F6EC9" w:rsidP="001F6EC9">
      <w:pPr>
        <w:pStyle w:val="ad"/>
        <w:spacing w:line="360" w:lineRule="auto"/>
        <w:rPr>
          <w:rFonts w:ascii="Arial" w:hAnsi="Arial"/>
        </w:rPr>
      </w:pPr>
    </w:p>
    <w:p w:rsidR="001F6EC9" w:rsidRPr="001924E8" w:rsidRDefault="001924E8" w:rsidP="001F6EC9">
      <w:pPr>
        <w:pStyle w:val="ad"/>
        <w:numPr>
          <w:ilvl w:val="0"/>
          <w:numId w:val="1"/>
        </w:numPr>
        <w:spacing w:line="360" w:lineRule="auto"/>
        <w:ind w:left="567" w:hanging="567"/>
        <w:jc w:val="both"/>
        <w:rPr>
          <w:rFonts w:ascii="Arial" w:hAnsi="Arial"/>
          <w:rtl/>
        </w:rPr>
      </w:pPr>
      <w:r w:rsidRPr="001924E8">
        <w:rPr>
          <w:b/>
          <w:bCs/>
          <w:rtl/>
        </w:rPr>
        <w:t xml:space="preserve">מר </w:t>
      </w:r>
      <w:r w:rsidR="000A4AF4" w:rsidRPr="001924E8">
        <w:rPr>
          <w:b/>
          <w:bCs/>
        </w:rPr>
        <w:t>XXX</w:t>
      </w:r>
      <w:r w:rsidR="000A4AF4" w:rsidRPr="001924E8">
        <w:rPr>
          <w:rtl/>
        </w:rPr>
        <w:t xml:space="preserve"> </w:t>
      </w:r>
      <w:r w:rsidRPr="001924E8">
        <w:rPr>
          <w:rtl/>
        </w:rPr>
        <w:t>תאר את האירוע מזיכרונו באופן הבא: "</w:t>
      </w:r>
      <w:r w:rsidRPr="001924E8">
        <w:rPr>
          <w:rFonts w:ascii="David" w:hAnsi="David"/>
          <w:b/>
          <w:bCs/>
          <w:rtl/>
        </w:rPr>
        <w:t>תראי זה היה לפני 3.5 שנים בערך משהו כזה, אני רק זוכר שהוא השתלח בצורה לא פרופורציונלית, הוא קרא לבת שלה זונה וזה מה שאני זוכר בעיקר כאילו את ההתבטאות הזאת ואחר כך היה את העניין עם העגלה שהוא לא שיחרר אותה מהידיים ומשך אותה בכוח מהאמא ואז אני פשוט הערתי איזה הערה ואז הוא שיחרר אותה</w:t>
      </w:r>
      <w:r w:rsidRPr="001924E8">
        <w:rPr>
          <w:rFonts w:ascii="David" w:hAnsi="David"/>
          <w:rtl/>
        </w:rPr>
        <w:t>."</w:t>
      </w:r>
    </w:p>
    <w:p w:rsidR="001F6EC9" w:rsidRPr="001924E8" w:rsidRDefault="001924E8" w:rsidP="001F6EC9">
      <w:pPr>
        <w:pStyle w:val="ad"/>
        <w:spacing w:line="360" w:lineRule="auto"/>
        <w:ind w:left="567"/>
        <w:jc w:val="both"/>
        <w:rPr>
          <w:rFonts w:ascii="Arial" w:hAnsi="Arial"/>
        </w:rPr>
      </w:pPr>
      <w:r w:rsidRPr="001924E8">
        <w:rPr>
          <w:rtl/>
        </w:rPr>
        <w:t>(ראו: פרוטוקול מיום 28.1.24 עמ' 13)</w:t>
      </w:r>
      <w:r w:rsidRPr="001924E8">
        <w:rPr>
          <w:rFonts w:ascii="Rockwell" w:hAnsi="Rockwell"/>
          <w:rtl/>
        </w:rPr>
        <w:t>.</w:t>
      </w:r>
    </w:p>
    <w:p w:rsidR="001F6EC9" w:rsidRDefault="001924E8" w:rsidP="001F6EC9">
      <w:pPr>
        <w:pStyle w:val="ad"/>
        <w:numPr>
          <w:ilvl w:val="0"/>
          <w:numId w:val="1"/>
        </w:numPr>
        <w:spacing w:line="360" w:lineRule="auto"/>
        <w:ind w:left="567" w:hanging="567"/>
        <w:jc w:val="both"/>
        <w:rPr>
          <w:rFonts w:ascii="Arial" w:hAnsi="Arial"/>
          <w:rtl/>
        </w:rPr>
      </w:pPr>
      <w:r w:rsidRPr="001924E8">
        <w:rPr>
          <w:rtl/>
        </w:rPr>
        <w:t xml:space="preserve">עדותם של שני בני הזוג </w:t>
      </w:r>
      <w:r w:rsidR="000A4AF4" w:rsidRPr="001924E8">
        <w:t>XXX</w:t>
      </w:r>
      <w:r w:rsidR="000A4AF4" w:rsidRPr="001924E8">
        <w:rPr>
          <w:rtl/>
        </w:rPr>
        <w:t xml:space="preserve"> </w:t>
      </w:r>
      <w:r w:rsidRPr="001924E8">
        <w:rPr>
          <w:rtl/>
        </w:rPr>
        <w:t>הייתה מהימנה, ולא נסתרה. כמו כן הם תיארו כי בעת האירוע</w:t>
      </w:r>
      <w:r>
        <w:rPr>
          <w:rtl/>
        </w:rPr>
        <w:t xml:space="preserve"> שבגינו הוגשה התלונה השניה הנתבעת ישבה בצד מפוחדת מפני התובע.</w:t>
      </w:r>
    </w:p>
    <w:p w:rsidR="001F6EC9" w:rsidRDefault="001F6EC9" w:rsidP="001F6EC9">
      <w:pPr>
        <w:pStyle w:val="ad"/>
        <w:spacing w:line="360" w:lineRule="auto"/>
        <w:ind w:left="567"/>
        <w:jc w:val="both"/>
        <w:rPr>
          <w:rFonts w:ascii="Arial" w:hAnsi="Arial"/>
        </w:rPr>
      </w:pPr>
    </w:p>
    <w:p w:rsidR="001F6EC9" w:rsidRDefault="001924E8" w:rsidP="001F6EC9">
      <w:pPr>
        <w:pStyle w:val="ad"/>
        <w:numPr>
          <w:ilvl w:val="0"/>
          <w:numId w:val="1"/>
        </w:numPr>
        <w:spacing w:line="360" w:lineRule="auto"/>
        <w:ind w:left="567" w:hanging="567"/>
        <w:jc w:val="both"/>
        <w:rPr>
          <w:rFonts w:ascii="Arial" w:hAnsi="Arial"/>
        </w:rPr>
      </w:pPr>
      <w:r>
        <w:rPr>
          <w:rFonts w:ascii="Arial" w:hAnsi="Arial"/>
          <w:rtl/>
        </w:rPr>
        <w:t xml:space="preserve">אשר על כן שוכנעתי כי גם במועד הגשת התלונה השניה חששה הנתבעת באופן כן ואמיתי גם אם סובייקטיבי מפני התובע והתלונה הוגשה על ידה בתום לב. </w:t>
      </w:r>
    </w:p>
    <w:p w:rsidR="001F6EC9" w:rsidRDefault="001F6EC9" w:rsidP="001F6EC9">
      <w:pPr>
        <w:pStyle w:val="ad"/>
        <w:spacing w:line="360" w:lineRule="auto"/>
        <w:ind w:left="567"/>
        <w:jc w:val="both"/>
        <w:rPr>
          <w:rFonts w:ascii="Arial" w:hAnsi="Arial"/>
        </w:rPr>
      </w:pPr>
    </w:p>
    <w:p w:rsidR="001F6EC9" w:rsidRDefault="001924E8" w:rsidP="001F6EC9">
      <w:pPr>
        <w:spacing w:line="360" w:lineRule="auto"/>
        <w:ind w:left="567"/>
        <w:jc w:val="both"/>
        <w:rPr>
          <w:rFonts w:ascii="Arial" w:hAnsi="Arial"/>
          <w:b/>
          <w:bCs/>
          <w:noProof w:val="0"/>
          <w:u w:val="single"/>
        </w:rPr>
      </w:pPr>
      <w:r>
        <w:rPr>
          <w:rFonts w:ascii="Arial" w:hAnsi="Arial"/>
          <w:b/>
          <w:bCs/>
          <w:noProof w:val="0"/>
          <w:u w:val="single"/>
          <w:rtl/>
        </w:rPr>
        <w:t xml:space="preserve">פניית הנתבעת למרכז לאלימות במשפחה </w:t>
      </w:r>
    </w:p>
    <w:p w:rsidR="001F6EC9" w:rsidRDefault="001F6EC9" w:rsidP="001F6EC9">
      <w:pPr>
        <w:spacing w:line="360" w:lineRule="auto"/>
        <w:jc w:val="both"/>
        <w:rPr>
          <w:rFonts w:ascii="Arial" w:hAnsi="Arial"/>
          <w:rtl/>
        </w:rPr>
      </w:pPr>
    </w:p>
    <w:p w:rsidR="001F6EC9" w:rsidRDefault="001924E8" w:rsidP="001F6EC9">
      <w:pPr>
        <w:pStyle w:val="ad"/>
        <w:numPr>
          <w:ilvl w:val="0"/>
          <w:numId w:val="1"/>
        </w:numPr>
        <w:spacing w:line="360" w:lineRule="auto"/>
        <w:ind w:left="567" w:hanging="567"/>
        <w:jc w:val="both"/>
        <w:rPr>
          <w:rFonts w:ascii="Arial" w:hAnsi="Arial"/>
        </w:rPr>
      </w:pPr>
      <w:r>
        <w:rPr>
          <w:rFonts w:ascii="Arial" w:hAnsi="Arial"/>
          <w:rtl/>
        </w:rPr>
        <w:t xml:space="preserve">הנתבעת פנתה למרכז לאלימות במשפחה בעיריית </w:t>
      </w:r>
      <w:r w:rsidR="00AA2474">
        <w:rPr>
          <w:rFonts w:ascii="Arial" w:hAnsi="Arial" w:hint="cs"/>
          <w:rtl/>
        </w:rPr>
        <w:t>***</w:t>
      </w:r>
      <w:r>
        <w:rPr>
          <w:rFonts w:ascii="Arial" w:hAnsi="Arial"/>
          <w:rtl/>
        </w:rPr>
        <w:t xml:space="preserve"> ביום 20.5.24 כחודשיים לאחר הגשת התלונה הראשונה וכחודשיים טרם הגשת התלונה השנייה. </w:t>
      </w:r>
    </w:p>
    <w:p w:rsidR="001F6EC9" w:rsidRDefault="001924E8" w:rsidP="001F6EC9">
      <w:pPr>
        <w:pStyle w:val="ad"/>
        <w:spacing w:line="360" w:lineRule="auto"/>
        <w:ind w:left="567"/>
        <w:jc w:val="both"/>
        <w:rPr>
          <w:rFonts w:ascii="Arial" w:hAnsi="Arial"/>
        </w:rPr>
      </w:pPr>
      <w:r>
        <w:rPr>
          <w:rFonts w:ascii="Arial" w:hAnsi="Arial"/>
          <w:rtl/>
        </w:rPr>
        <w:t xml:space="preserve">הנתבעת הסבירה בחקירתה כי פנתה למרכז לאחר שהבינה שהיא זקוקה לעזרה ובעקבות עצה שקיבלה מבאת כוחה אשר הבחינה שהיא במצב לא טוב (ראו: פרוטוקול מיום 28.1.24 עמ' 52). גרסתה של הנתבעת בעניין זה הייתה מפורטת וסדורה. </w:t>
      </w:r>
    </w:p>
    <w:p w:rsidR="001F6EC9" w:rsidRDefault="001F6EC9" w:rsidP="001F6EC9">
      <w:pPr>
        <w:pStyle w:val="ad"/>
        <w:spacing w:line="360" w:lineRule="auto"/>
        <w:rPr>
          <w:rFonts w:ascii="Arial" w:hAnsi="Arial"/>
        </w:rPr>
      </w:pPr>
    </w:p>
    <w:p w:rsidR="001F6EC9" w:rsidRDefault="001924E8" w:rsidP="001F6EC9">
      <w:pPr>
        <w:pStyle w:val="ad"/>
        <w:numPr>
          <w:ilvl w:val="0"/>
          <w:numId w:val="1"/>
        </w:numPr>
        <w:spacing w:line="360" w:lineRule="auto"/>
        <w:ind w:left="567" w:hanging="567"/>
        <w:jc w:val="both"/>
        <w:rPr>
          <w:rFonts w:ascii="Arial" w:hAnsi="Arial"/>
          <w:rtl/>
        </w:rPr>
      </w:pPr>
      <w:r>
        <w:rPr>
          <w:b/>
          <w:bCs/>
          <w:rtl/>
        </w:rPr>
        <w:t xml:space="preserve">מעדות שני הצדדים </w:t>
      </w:r>
      <w:r>
        <w:rPr>
          <w:rtl/>
        </w:rPr>
        <w:t xml:space="preserve">מצטיירת תמונה של יחסים זוגיים ברמת קונפליקט גבוהה, בתקשורת זוגית אלימה רווית קללות ותנועות מגונות. לטענת האב באופן הדדי כלומר גם מצד האם כלפיו. </w:t>
      </w:r>
      <w:r>
        <w:rPr>
          <w:rFonts w:ascii="Arial" w:hAnsi="Arial"/>
          <w:rtl/>
        </w:rPr>
        <w:t xml:space="preserve">עם זאת התובע לא הוכיח עניין זה ובין כך ובין כך הדבר אינו משנה לסוגיית חוק איסור לשון הרע מאחר ויש לבחון את טענות התובע כלפי הנתבעת בעניין זה.    </w:t>
      </w:r>
    </w:p>
    <w:p w:rsidR="001F6EC9" w:rsidRDefault="001F6EC9" w:rsidP="001F6EC9">
      <w:pPr>
        <w:pStyle w:val="ad"/>
        <w:spacing w:line="360" w:lineRule="auto"/>
        <w:rPr>
          <w:rFonts w:ascii="Arial" w:hAnsi="Arial"/>
        </w:rPr>
      </w:pPr>
    </w:p>
    <w:p w:rsidR="001F6EC9" w:rsidRDefault="001924E8" w:rsidP="001F6EC9">
      <w:pPr>
        <w:pStyle w:val="ad"/>
        <w:numPr>
          <w:ilvl w:val="0"/>
          <w:numId w:val="1"/>
        </w:numPr>
        <w:spacing w:line="360" w:lineRule="auto"/>
        <w:ind w:left="567" w:hanging="567"/>
        <w:jc w:val="both"/>
        <w:rPr>
          <w:rFonts w:ascii="Arial" w:hAnsi="Arial"/>
          <w:rtl/>
        </w:rPr>
      </w:pPr>
      <w:r>
        <w:rPr>
          <w:rFonts w:ascii="Arial" w:hAnsi="Arial"/>
          <w:rtl/>
        </w:rPr>
        <w:lastRenderedPageBreak/>
        <w:t xml:space="preserve">בנסיבות המפורטות ומששוכנעתי כי הנתבעת הגישה את התלונות בתום לב בשל חששה מפני התובע. גם פנייתה של הנתבעת למרכז לאלימות במשפחה בעיר מגוריה נעשתה בתום לב כשהיא מבקשת להגן על עצמה מפני התובע, לתת לה כלים להתמודדות עם המשבר ולא בכוונת זדון על מנת לפגוע בתובע. </w:t>
      </w:r>
    </w:p>
    <w:p w:rsidR="001F6EC9" w:rsidRDefault="001F6EC9" w:rsidP="001F6EC9">
      <w:pPr>
        <w:pStyle w:val="ad"/>
        <w:spacing w:line="360" w:lineRule="auto"/>
        <w:rPr>
          <w:rFonts w:ascii="Arial" w:hAnsi="Arial"/>
        </w:rPr>
      </w:pPr>
    </w:p>
    <w:p w:rsidR="001F6EC9" w:rsidRDefault="001924E8" w:rsidP="001F6EC9">
      <w:pPr>
        <w:pStyle w:val="ad"/>
        <w:numPr>
          <w:ilvl w:val="0"/>
          <w:numId w:val="1"/>
        </w:numPr>
        <w:spacing w:line="360" w:lineRule="auto"/>
        <w:ind w:left="567" w:hanging="567"/>
        <w:jc w:val="both"/>
        <w:rPr>
          <w:rFonts w:ascii="Arial" w:hAnsi="Arial"/>
          <w:rtl/>
        </w:rPr>
      </w:pPr>
      <w:r>
        <w:rPr>
          <w:rFonts w:ascii="Arial" w:hAnsi="Arial"/>
          <w:b/>
          <w:bCs/>
          <w:u w:val="single"/>
          <w:rtl/>
        </w:rPr>
        <w:t>בכל הנוגע לנטל ההוכחה וחזקת תום הלב לגבי שתי התלונות והפניה למרכז לאלימות במשפחה</w:t>
      </w:r>
      <w:r>
        <w:rPr>
          <w:rFonts w:ascii="Arial" w:hAnsi="Arial"/>
          <w:rtl/>
        </w:rPr>
        <w:t xml:space="preserve"> - לא מצאתי כי הפרסום של הנתבעת חרג מתחום הסביר בנסיבות העניין. הנתבעת הגישה תלונות למשטרה ופנתה למרכז לאלימות במשפחה. הנתבעת פנתה לגורמים מקצועיים בלבד לשם בחינה בדיקה וקבלת סיוע. התובע לא טען וממילא לא הוכח כי הנתבעת פרסמה את התלונה לגורמים נוספים.  </w:t>
      </w:r>
    </w:p>
    <w:p w:rsidR="001F6EC9" w:rsidRDefault="001F6EC9" w:rsidP="001F6EC9">
      <w:pPr>
        <w:pStyle w:val="ad"/>
        <w:spacing w:line="360" w:lineRule="auto"/>
        <w:rPr>
          <w:rFonts w:ascii="Arial" w:hAnsi="Arial"/>
          <w:b/>
          <w:bCs/>
        </w:rPr>
      </w:pPr>
    </w:p>
    <w:p w:rsidR="001F6EC9" w:rsidRDefault="001924E8" w:rsidP="001F6EC9">
      <w:pPr>
        <w:pStyle w:val="ad"/>
        <w:numPr>
          <w:ilvl w:val="0"/>
          <w:numId w:val="1"/>
        </w:numPr>
        <w:spacing w:line="360" w:lineRule="auto"/>
        <w:ind w:left="567" w:hanging="567"/>
        <w:jc w:val="both"/>
        <w:rPr>
          <w:rFonts w:ascii="Arial" w:hAnsi="Arial"/>
          <w:rtl/>
        </w:rPr>
      </w:pPr>
      <w:r>
        <w:rPr>
          <w:rFonts w:ascii="Arial" w:hAnsi="Arial"/>
          <w:rtl/>
        </w:rPr>
        <w:t xml:space="preserve">אשר על כן הגעתי לכלל מסקנה כי בעת הגשת התלונה הראשונה פעלה הנתבעת בתום לב והגישה את התלונה לאור חששה הסובייקטיבי מפני התובע וזאת לאור התנהגותו של התובע ובכלל זה הודעות בעלות תוכן בוטה ששלח לה התובע. משלא חרג הפרסום מגדר הסביר קמה לנתבעת חזקה כי פעלה בתום לב. </w:t>
      </w:r>
    </w:p>
    <w:p w:rsidR="001F6EC9" w:rsidRDefault="001F6EC9" w:rsidP="001F6EC9">
      <w:pPr>
        <w:pStyle w:val="ad"/>
        <w:spacing w:line="360" w:lineRule="auto"/>
        <w:rPr>
          <w:rFonts w:ascii="Arial" w:hAnsi="Arial"/>
          <w:b/>
          <w:bCs/>
        </w:rPr>
      </w:pPr>
    </w:p>
    <w:p w:rsidR="001F6EC9" w:rsidRDefault="001924E8" w:rsidP="001F6EC9">
      <w:pPr>
        <w:pStyle w:val="ad"/>
        <w:numPr>
          <w:ilvl w:val="0"/>
          <w:numId w:val="1"/>
        </w:numPr>
        <w:spacing w:line="360" w:lineRule="auto"/>
        <w:ind w:left="567" w:hanging="567"/>
        <w:jc w:val="both"/>
        <w:rPr>
          <w:rFonts w:ascii="Arial" w:hAnsi="Arial"/>
          <w:rtl/>
        </w:rPr>
      </w:pPr>
      <w:r>
        <w:rPr>
          <w:rFonts w:ascii="Arial" w:hAnsi="Arial"/>
          <w:rtl/>
        </w:rPr>
        <w:t xml:space="preserve">התובע מצידו לא הוכיח כי התקיים בפרסום אחד מהתנאים המקימים חזקה לפיה הפרסום נעשה שלא בתום לב. </w:t>
      </w:r>
    </w:p>
    <w:p w:rsidR="001F6EC9" w:rsidRDefault="001F6EC9" w:rsidP="001F6EC9">
      <w:pPr>
        <w:pStyle w:val="ad"/>
        <w:spacing w:line="360" w:lineRule="auto"/>
        <w:rPr>
          <w:rFonts w:ascii="Arial" w:hAnsi="Arial"/>
        </w:rPr>
      </w:pPr>
    </w:p>
    <w:p w:rsidR="001F6EC9" w:rsidRDefault="001924E8" w:rsidP="001F6EC9">
      <w:pPr>
        <w:pStyle w:val="ad"/>
        <w:numPr>
          <w:ilvl w:val="0"/>
          <w:numId w:val="1"/>
        </w:numPr>
        <w:spacing w:line="360" w:lineRule="auto"/>
        <w:ind w:left="567" w:hanging="567"/>
        <w:jc w:val="both"/>
        <w:rPr>
          <w:rFonts w:ascii="Arial" w:hAnsi="Arial"/>
          <w:rtl/>
        </w:rPr>
      </w:pPr>
      <w:r>
        <w:rPr>
          <w:rFonts w:ascii="Arial" w:hAnsi="Arial"/>
          <w:rtl/>
        </w:rPr>
        <w:t xml:space="preserve">אין בידי לקבל את טענת התובע כי סגירת התלונות שהגישה הנתבעת שוללת ממנה את יסוד תום הלב. ראשית הסיבה לסגירה לגבי התלונה הראשונה היא היעדר ראיות ולא היעדר אשמה של התובע (וזאת על אף שהתובע טען אחרת תוך שמצרף מסמך בלתי קריא) ועל כן אין מקום למסקנה שמדובר בתלונת שווא. שנית, בהתאם לפסיקה גם לו הייתה התלונה מבשילה כדי כתב אישום, קיומו של פסק דין המזכה את התובע לא יכול היה לשמש הוכחה במסגרת הליך זה לכך שתלונת הנתבעת הייתה תלונת שווא וזאת נוכח השוני בנטלי הראיה בין ההליכים. </w:t>
      </w:r>
    </w:p>
    <w:p w:rsidR="001F6EC9" w:rsidRDefault="001F6EC9" w:rsidP="001F6EC9">
      <w:pPr>
        <w:pStyle w:val="ad"/>
        <w:spacing w:line="360" w:lineRule="auto"/>
        <w:rPr>
          <w:rFonts w:ascii="Arial" w:hAnsi="Arial"/>
        </w:rPr>
      </w:pPr>
    </w:p>
    <w:p w:rsidR="001F6EC9" w:rsidRDefault="001924E8" w:rsidP="001F6EC9">
      <w:pPr>
        <w:pStyle w:val="ad"/>
        <w:numPr>
          <w:ilvl w:val="0"/>
          <w:numId w:val="1"/>
        </w:numPr>
        <w:spacing w:line="360" w:lineRule="auto"/>
        <w:ind w:left="567" w:hanging="567"/>
        <w:jc w:val="both"/>
        <w:rPr>
          <w:rFonts w:ascii="Arial" w:hAnsi="Arial"/>
          <w:rtl/>
        </w:rPr>
      </w:pPr>
      <w:r>
        <w:rPr>
          <w:rFonts w:ascii="Arial" w:hAnsi="Arial"/>
          <w:rtl/>
        </w:rPr>
        <w:t xml:space="preserve">כמו כן איני מקבלת את טענת התובע לפיה הנתבעת פעלה </w:t>
      </w:r>
      <w:r>
        <w:rPr>
          <w:rFonts w:ascii="Arial" w:hAnsi="Arial"/>
          <w:noProof w:val="0"/>
          <w:rtl/>
        </w:rPr>
        <w:t xml:space="preserve">בחוסר תום לב ובזדון במטרה לפגוע בו להשפיע על זמני השהות של התובע ועל מנת לזכות ביתרון בהליכים נוספים המתנהלים בין הצדדים בבית הדין הרבני. ראשית, בהתאם לפסיקה אשר צוינה לעיל המניע להגשת התלונה אינו רלבנטי ככל שהמתלונן משוכנע באופן סובייקטיבי כי התלונה אמיתית. שנית, ממסמכים שצירפו הצדדים ניכר כי בית הדין הרבני והגורמים המטפלים בוחנים באופן עצמאי ומעמיק את מסוגלותם ההורית של הצדדים ואינם סומכים ידם על טענות הצדדים. </w:t>
      </w:r>
    </w:p>
    <w:p w:rsidR="001F6EC9" w:rsidRDefault="001924E8" w:rsidP="001F6EC9">
      <w:pPr>
        <w:pStyle w:val="ad"/>
        <w:spacing w:line="360" w:lineRule="auto"/>
        <w:ind w:left="567"/>
        <w:jc w:val="both"/>
        <w:rPr>
          <w:rFonts w:ascii="Arial" w:hAnsi="Arial"/>
        </w:rPr>
      </w:pPr>
      <w:r>
        <w:rPr>
          <w:rFonts w:ascii="Arial" w:hAnsi="Arial"/>
          <w:rtl/>
        </w:rPr>
        <w:lastRenderedPageBreak/>
        <w:t xml:space="preserve">שוכנעתי כי לגבי כל התלונות פעלה הנתבעת בתום לב ותוך שהיא משוכנעת בצורך לפעול ולהגן על עצמה מפני התובע. התובע לא סיפק הסבר ולא הפריך טענות אלה. הוא המשיך להצדיק את התנהלותו ולא ראה בה כל פגם ולו מזערי. </w:t>
      </w:r>
    </w:p>
    <w:p w:rsidR="001F6EC9" w:rsidRDefault="001F6EC9" w:rsidP="001F6EC9">
      <w:pPr>
        <w:pStyle w:val="ad"/>
        <w:spacing w:line="360" w:lineRule="auto"/>
        <w:rPr>
          <w:rFonts w:ascii="Arial" w:hAnsi="Arial"/>
          <w:rtl/>
        </w:rPr>
      </w:pPr>
    </w:p>
    <w:p w:rsidR="001F6EC9" w:rsidRDefault="001924E8" w:rsidP="001F6EC9">
      <w:pPr>
        <w:pStyle w:val="ad"/>
        <w:numPr>
          <w:ilvl w:val="0"/>
          <w:numId w:val="1"/>
        </w:numPr>
        <w:spacing w:line="360" w:lineRule="auto"/>
        <w:ind w:left="567" w:hanging="567"/>
        <w:jc w:val="both"/>
        <w:rPr>
          <w:rFonts w:ascii="Arial" w:hAnsi="Arial"/>
          <w:noProof w:val="0"/>
          <w:rtl/>
        </w:rPr>
      </w:pPr>
      <w:r>
        <w:rPr>
          <w:rFonts w:ascii="Arial" w:hAnsi="Arial"/>
          <w:b/>
          <w:bCs/>
          <w:rtl/>
        </w:rPr>
        <w:t xml:space="preserve">אשר על כן </w:t>
      </w:r>
      <w:r>
        <w:rPr>
          <w:rFonts w:ascii="David" w:hAnsi="David"/>
          <w:b/>
          <w:bCs/>
          <w:rtl/>
        </w:rPr>
        <w:t xml:space="preserve">שתי התביעות נדחות על כל רכיביהן. </w:t>
      </w:r>
    </w:p>
    <w:p w:rsidR="001F6EC9" w:rsidRDefault="001F6EC9" w:rsidP="001F6EC9">
      <w:pPr>
        <w:pStyle w:val="ad"/>
        <w:spacing w:line="360" w:lineRule="auto"/>
        <w:ind w:left="567"/>
        <w:jc w:val="both"/>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tl/>
        </w:rPr>
      </w:pPr>
      <w:r>
        <w:rPr>
          <w:rFonts w:ascii="Arial" w:hAnsi="Arial"/>
          <w:noProof w:val="0"/>
          <w:rtl/>
        </w:rPr>
        <w:t xml:space="preserve">לאור התוצאה אליה הגעתי ובשים לב לנימוקי פסק הדין להיקף ההליכים ולהתנהלות הצדדים אני מחייבת את התובע בהוצאות הנתבעת בסך של 35,100 ₪ אשר ישולמו בתוך 30 יום, ולא - יישאו הפרשי הצמדה וריבית כדין. </w:t>
      </w:r>
    </w:p>
    <w:p w:rsidR="001F6EC9" w:rsidRDefault="001F6EC9" w:rsidP="001F6EC9">
      <w:pPr>
        <w:pStyle w:val="ad"/>
        <w:spacing w:line="360" w:lineRule="auto"/>
        <w:rPr>
          <w:rFonts w:ascii="Arial" w:hAnsi="Arial"/>
          <w:noProof w:val="0"/>
        </w:rPr>
      </w:pPr>
    </w:p>
    <w:p w:rsidR="001F6EC9" w:rsidRDefault="001924E8" w:rsidP="001F6EC9">
      <w:pPr>
        <w:pStyle w:val="ad"/>
        <w:numPr>
          <w:ilvl w:val="0"/>
          <w:numId w:val="1"/>
        </w:numPr>
        <w:spacing w:line="360" w:lineRule="auto"/>
        <w:ind w:left="567" w:hanging="567"/>
        <w:jc w:val="both"/>
        <w:rPr>
          <w:rFonts w:ascii="Arial" w:hAnsi="Arial"/>
          <w:noProof w:val="0"/>
          <w:rtl/>
        </w:rPr>
      </w:pPr>
      <w:r>
        <w:rPr>
          <w:rFonts w:ascii="Arial" w:hAnsi="Arial"/>
          <w:b/>
          <w:bCs/>
          <w:noProof w:val="0"/>
          <w:u w:val="single"/>
          <w:rtl/>
        </w:rPr>
        <w:t>המזכירות</w:t>
      </w:r>
      <w:r>
        <w:rPr>
          <w:rFonts w:ascii="Arial" w:hAnsi="Arial"/>
          <w:noProof w:val="0"/>
          <w:rtl/>
        </w:rPr>
        <w:t xml:space="preserve"> תסגור את שני התיקים. </w:t>
      </w: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1924E8">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י"ב אב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16 אוגוסט 2024</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696D6F">
      <w:pPr>
        <w:spacing w:line="360" w:lineRule="auto"/>
        <w:ind w:left="3600" w:firstLine="720"/>
        <w:jc w:val="both"/>
      </w:pPr>
      <w:sdt>
        <w:sdtPr>
          <w:rPr>
            <w:rtl/>
          </w:rPr>
          <w:alias w:val="MergeField"/>
          <w:tag w:val="1237"/>
          <w:id w:val="1680544338"/>
        </w:sdtPr>
        <w:sdtEndPr/>
        <w:sdtContent>
          <w:r w:rsidR="003F30FC">
            <w:drawing>
              <wp:inline distT="0" distB="0" distL="0" distR="0">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237.jpg"/>
                        <pic:cNvPicPr/>
                      </pic:nvPicPr>
                      <pic:blipFill>
                        <a:blip r:embed="rId10" cstate="print"/>
                        <a:stretch>
                          <a:fillRect/>
                        </a:stretch>
                      </pic:blipFill>
                      <pic:spPr>
                        <a:xfrm>
                          <a:off x="0" y="0"/>
                          <a:ext cx="1600200" cy="79057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1924E8">
      <w:pPr>
        <w:spacing w:line="360" w:lineRule="auto"/>
        <w:jc w:val="both"/>
        <w:rPr>
          <w:rFonts w:ascii="Arial" w:hAnsi="Arial"/>
          <w:noProof w:val="0"/>
          <w:rtl/>
        </w:rPr>
      </w:pPr>
      <w:r w:rsidRPr="0000713B">
        <w:rPr>
          <w:rFonts w:ascii="David" w:hAnsi="David"/>
          <w:rtl/>
        </w:rPr>
        <w:t xml:space="preserve">פסק הדין הותר לפרסום ללא פרטים מזהים בהחלטה מיום </w:t>
      </w:r>
      <w:r>
        <w:rPr>
          <w:rFonts w:ascii="David" w:hAnsi="David" w:hint="cs"/>
          <w:rtl/>
        </w:rPr>
        <w:t>02 בדצמבר 2024.</w:t>
      </w: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6D6F" w:rsidRDefault="00696D6F">
      <w:r>
        <w:separator/>
      </w:r>
    </w:p>
  </w:endnote>
  <w:endnote w:type="continuationSeparator" w:id="0">
    <w:p w:rsidR="00696D6F" w:rsidRDefault="00696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Rockwell">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2B2B" w:rsidRDefault="006D2B2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1924E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8D1B13">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8D1B13">
      <w:rPr>
        <w:rStyle w:val="ab"/>
        <w:rtl/>
      </w:rPr>
      <w:t>15</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2B2B" w:rsidRDefault="006D2B2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6D6F" w:rsidRDefault="00696D6F">
      <w:r>
        <w:separator/>
      </w:r>
    </w:p>
  </w:footnote>
  <w:footnote w:type="continuationSeparator" w:id="0">
    <w:p w:rsidR="00696D6F" w:rsidRDefault="00696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2B2B" w:rsidRDefault="006D2B2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4"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F54C04">
      <w:trPr>
        <w:trHeight w:hRule="exact" w:val="418"/>
        <w:jc w:val="center"/>
      </w:trPr>
      <w:sdt>
        <w:sdtPr>
          <w:rPr>
            <w:rtl/>
          </w:rPr>
          <w:alias w:val="1174"/>
          <w:tag w:val="1174"/>
          <w:id w:val="222578223"/>
          <w:text/>
        </w:sdtPr>
        <w:sdtEndPr/>
        <w:sdtContent>
          <w:tc>
            <w:tcPr>
              <w:tcW w:w="8721" w:type="dxa"/>
              <w:gridSpan w:val="2"/>
            </w:tcPr>
            <w:p w:rsidR="002914D6" w:rsidRDefault="001924E8">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F54C04">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F54C04">
      <w:trPr>
        <w:trHeight w:val="337"/>
        <w:jc w:val="center"/>
      </w:trPr>
      <w:tc>
        <w:tcPr>
          <w:tcW w:w="8721" w:type="dxa"/>
          <w:gridSpan w:val="2"/>
        </w:tcPr>
        <w:p w:rsidR="002914D6" w:rsidRPr="001F6EC9" w:rsidRDefault="00696D6F">
          <w:pPr>
            <w:rPr>
              <w:b/>
              <w:bCs/>
              <w:noProof w:val="0"/>
              <w:sz w:val="26"/>
              <w:szCs w:val="26"/>
              <w:rtl/>
            </w:rPr>
          </w:pPr>
          <w:sdt>
            <w:sdtPr>
              <w:rPr>
                <w:sz w:val="26"/>
                <w:szCs w:val="26"/>
                <w:rtl/>
              </w:rPr>
              <w:alias w:val="1170"/>
              <w:tag w:val="1170"/>
              <w:id w:val="-984775694"/>
              <w:text w:multiLine="1"/>
            </w:sdtPr>
            <w:sdtEndPr/>
            <w:sdtContent>
              <w:r w:rsidR="00BD18F5" w:rsidRPr="001F6EC9">
                <w:rPr>
                  <w:b/>
                  <w:bCs/>
                  <w:noProof w:val="0"/>
                  <w:sz w:val="26"/>
                  <w:szCs w:val="26"/>
                  <w:rtl/>
                </w:rPr>
                <w:t>תמ"ש</w:t>
              </w:r>
            </w:sdtContent>
          </w:sdt>
          <w:r w:rsidR="00011212" w:rsidRPr="001F6EC9">
            <w:rPr>
              <w:b/>
              <w:bCs/>
              <w:noProof w:val="0"/>
              <w:sz w:val="26"/>
              <w:szCs w:val="26"/>
              <w:rtl/>
            </w:rPr>
            <w:t xml:space="preserve"> </w:t>
          </w:r>
          <w:sdt>
            <w:sdtPr>
              <w:rPr>
                <w:sz w:val="26"/>
                <w:szCs w:val="26"/>
                <w:rtl/>
              </w:rPr>
              <w:alias w:val="1171"/>
              <w:tag w:val="1171"/>
              <w:id w:val="1025217868"/>
              <w:text w:multiLine="1"/>
            </w:sdtPr>
            <w:sdtEndPr/>
            <w:sdtContent>
              <w:r w:rsidR="00BD18F5" w:rsidRPr="001F6EC9">
                <w:rPr>
                  <w:b/>
                  <w:bCs/>
                  <w:noProof w:val="0"/>
                  <w:sz w:val="26"/>
                  <w:szCs w:val="26"/>
                  <w:rtl/>
                </w:rPr>
                <w:t>37960-01-23</w:t>
              </w:r>
            </w:sdtContent>
          </w:sdt>
          <w:r w:rsidR="00011212" w:rsidRPr="001F6EC9">
            <w:rPr>
              <w:b/>
              <w:bCs/>
              <w:noProof w:val="0"/>
              <w:sz w:val="26"/>
              <w:szCs w:val="26"/>
              <w:rtl/>
            </w:rPr>
            <w:t xml:space="preserve"> </w:t>
          </w:r>
          <w:sdt>
            <w:sdtPr>
              <w:rPr>
                <w:sz w:val="26"/>
                <w:szCs w:val="26"/>
                <w:rtl/>
              </w:rPr>
              <w:alias w:val="1172"/>
              <w:tag w:val="1172"/>
              <w:id w:val="-673653942"/>
              <w:text w:multiLine="1"/>
            </w:sdtPr>
            <w:sdtEndPr/>
            <w:sdtContent>
              <w:r w:rsidR="00FD747E">
                <w:rPr>
                  <w:rFonts w:hint="cs"/>
                  <w:b/>
                  <w:bCs/>
                  <w:noProof w:val="0"/>
                  <w:sz w:val="26"/>
                  <w:szCs w:val="26"/>
                  <w:rtl/>
                </w:rPr>
                <w:t>האב</w:t>
              </w:r>
              <w:r w:rsidR="00FD747E" w:rsidRPr="001F6EC9">
                <w:rPr>
                  <w:b/>
                  <w:bCs/>
                  <w:noProof w:val="0"/>
                  <w:sz w:val="26"/>
                  <w:szCs w:val="26"/>
                  <w:rtl/>
                </w:rPr>
                <w:t xml:space="preserve"> נ' </w:t>
              </w:r>
              <w:r w:rsidR="00FD747E">
                <w:rPr>
                  <w:rFonts w:hint="cs"/>
                  <w:b/>
                  <w:bCs/>
                  <w:noProof w:val="0"/>
                  <w:sz w:val="26"/>
                  <w:szCs w:val="26"/>
                  <w:rtl/>
                </w:rPr>
                <w:t>האם</w:t>
              </w:r>
            </w:sdtContent>
          </w:sdt>
        </w:p>
        <w:p w:rsidR="002914D6" w:rsidRPr="001F6EC9" w:rsidRDefault="001924E8">
          <w:pPr>
            <w:rPr>
              <w:b/>
              <w:bCs/>
              <w:sz w:val="26"/>
              <w:szCs w:val="26"/>
              <w:rtl/>
            </w:rPr>
          </w:pPr>
          <w:r w:rsidRPr="001F6EC9">
            <w:rPr>
              <w:rFonts w:hint="cs"/>
              <w:b/>
              <w:bCs/>
              <w:sz w:val="26"/>
              <w:szCs w:val="26"/>
              <w:rtl/>
            </w:rPr>
            <w:t>תלה"מ 42034-12-21</w:t>
          </w:r>
        </w:p>
      </w:tc>
    </w:tr>
  </w:tbl>
  <w:p w:rsidR="002914D6" w:rsidRPr="001F6EC9" w:rsidRDefault="001924E8">
    <w:pPr>
      <w:pStyle w:val="a3"/>
      <w:rPr>
        <w:noProof w:val="0"/>
        <w:sz w:val="26"/>
        <w:szCs w:val="26"/>
        <w:rtl/>
      </w:rPr>
    </w:pPr>
    <w:r w:rsidRPr="001F6EC9">
      <w:rPr>
        <w:noProof w:val="0"/>
        <w:sz w:val="26"/>
        <w:szCs w:val="26"/>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2B2B" w:rsidRDefault="006D2B2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6C249C"/>
    <w:multiLevelType w:val="hybridMultilevel"/>
    <w:tmpl w:val="49EEBA48"/>
    <w:lvl w:ilvl="0" w:tplc="B3EC186E">
      <w:start w:val="1"/>
      <w:numFmt w:val="decimal"/>
      <w:lvlText w:val="%1."/>
      <w:lvlJc w:val="left"/>
      <w:pPr>
        <w:ind w:left="3762" w:hanging="360"/>
      </w:pPr>
      <w:rPr>
        <w:b w:val="0"/>
        <w:bCs w:val="0"/>
      </w:rPr>
    </w:lvl>
    <w:lvl w:ilvl="1" w:tplc="7CC62E90">
      <w:start w:val="1"/>
      <w:numFmt w:val="lowerLetter"/>
      <w:lvlText w:val="%2."/>
      <w:lvlJc w:val="left"/>
      <w:pPr>
        <w:ind w:left="1440" w:hanging="360"/>
      </w:pPr>
    </w:lvl>
    <w:lvl w:ilvl="2" w:tplc="BC0C9F02">
      <w:start w:val="1"/>
      <w:numFmt w:val="lowerRoman"/>
      <w:lvlText w:val="%3."/>
      <w:lvlJc w:val="right"/>
      <w:pPr>
        <w:ind w:left="2160" w:hanging="180"/>
      </w:pPr>
    </w:lvl>
    <w:lvl w:ilvl="3" w:tplc="B1801F3A">
      <w:start w:val="1"/>
      <w:numFmt w:val="decimal"/>
      <w:lvlText w:val="%4."/>
      <w:lvlJc w:val="left"/>
      <w:pPr>
        <w:ind w:left="2880" w:hanging="360"/>
      </w:pPr>
    </w:lvl>
    <w:lvl w:ilvl="4" w:tplc="455A03DE">
      <w:start w:val="1"/>
      <w:numFmt w:val="lowerLetter"/>
      <w:lvlText w:val="%5."/>
      <w:lvlJc w:val="left"/>
      <w:pPr>
        <w:ind w:left="3600" w:hanging="360"/>
      </w:pPr>
    </w:lvl>
    <w:lvl w:ilvl="5" w:tplc="96420178">
      <w:start w:val="1"/>
      <w:numFmt w:val="lowerRoman"/>
      <w:lvlText w:val="%6."/>
      <w:lvlJc w:val="right"/>
      <w:pPr>
        <w:ind w:left="4320" w:hanging="180"/>
      </w:pPr>
    </w:lvl>
    <w:lvl w:ilvl="6" w:tplc="C5C0EF9C">
      <w:start w:val="1"/>
      <w:numFmt w:val="decimal"/>
      <w:lvlText w:val="%7."/>
      <w:lvlJc w:val="left"/>
      <w:pPr>
        <w:ind w:left="5040" w:hanging="360"/>
      </w:pPr>
    </w:lvl>
    <w:lvl w:ilvl="7" w:tplc="BA7EEFAE">
      <w:start w:val="1"/>
      <w:numFmt w:val="lowerLetter"/>
      <w:lvlText w:val="%8."/>
      <w:lvlJc w:val="left"/>
      <w:pPr>
        <w:ind w:left="5760" w:hanging="360"/>
      </w:pPr>
    </w:lvl>
    <w:lvl w:ilvl="8" w:tplc="8A5097EA">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91875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918750&amp;lt;/CaseID&amp;gt;_x000d__x000a_        &amp;lt;CaseMonth&amp;gt;1&amp;lt;/CaseMonth&amp;gt;_x000d__x000a_        &amp;lt;CaseYear&amp;gt;2023&amp;lt;/CaseYear&amp;gt;_x000d__x000a_        &amp;lt;CaseNumber&amp;gt;37960&amp;lt;/CaseNumber&amp;gt;_x000d__x000a_        &amp;lt;NumeratorGroupID&amp;gt;1&amp;lt;/NumeratorGroupID&amp;gt;_x000d__x000a_        &amp;lt;CaseName&amp;gt;אריאלי נ&amp;#39; חן&amp;lt;/CaseName&amp;gt;_x000d__x000a_        &amp;lt;CourtID&amp;gt;33&amp;lt;/CourtID&amp;gt;_x000d__x000a_        &amp;lt;CaseTypeID&amp;gt;15&amp;lt;/CaseTypeID&amp;gt;_x000d__x000a_        &amp;lt;CaseInterestID&amp;gt;10512&amp;lt;/CaseInterestID&amp;gt;_x000d__x000a_        &amp;lt;CaseJudgeName&amp;gt;תמר סנונית פור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7960-01-23&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5-20T11:30:00+03:00&amp;lt;/CasePreviousSessionDate&amp;gt;_x000d__x000a_        &amp;lt;CaseNextDeterminingTask&amp;gt;141&amp;lt;/CaseNextDeterminingTask&amp;gt;_x000d__x000a_        &amp;lt;TemporaryAidStatus /&amp;gt;_x000d__x000a_        &amp;lt;CaseOpenDate&amp;gt;2023-01-16T07:00:00+02:00&amp;lt;/CaseOpenDate&amp;gt;_x000d__x000a_        &amp;lt;PleaTypeID&amp;gt;4&amp;lt;/PleaTypeID&amp;gt;_x000d__x000a_        &amp;lt;CourtLevelID&amp;gt;1&amp;lt;/CourtLevelID&amp;gt;_x000d__x000a_        &amp;lt;CourtLevelCaseTypeInterestID&amp;gt;1768&amp;lt;/CourtLevelCaseTypeInterestID&amp;gt;_x000d__x000a_        &amp;lt;CaseJudgeFirstName&amp;gt;תמר&amp;lt;/CaseJudgeFirstName&amp;gt;_x000d__x000a_        &amp;lt;CaseJudgeLastName&amp;gt;סנונית פורר&amp;lt;/CaseJudgeLastName&amp;gt;_x000d__x000a_        &amp;lt;JudicalPersonID&amp;gt;03201470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25&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918750&amp;lt;/CaseID&amp;gt;_x000d__x000a_        &amp;lt;CaseMonth&amp;gt;1&amp;lt;/CaseMonth&amp;gt;_x000d__x000a_        &amp;lt;CaseYear&amp;gt;2023&amp;lt;/CaseYear&amp;gt;_x000d__x000a_        &amp;lt;CaseNumber&amp;gt;37960&amp;lt;/CaseNumber&amp;gt;_x000d__x000a_        &amp;lt;NumeratorGroupID&amp;gt;1&amp;lt;/NumeratorGroupID&amp;gt;_x000d__x000a_        &amp;lt;CaseName&amp;gt;אריאלי נ&amp;#39; חן&amp;lt;/CaseName&amp;gt;_x000d__x000a_        &amp;lt;CourtID&amp;gt;33&amp;lt;/CourtID&amp;gt;_x000d__x000a_        &amp;lt;CaseTypeID&amp;gt;15&amp;lt;/CaseTypeID&amp;gt;_x000d__x000a_        &amp;lt;CaseInterestID&amp;gt;10512&amp;lt;/CaseInterestID&amp;gt;_x000d__x000a_        &amp;lt;CaseJudgeName&amp;gt;תמר סנונית פורר&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7960-01-23&amp;lt;/CaseDisplayIdentifier&amp;gt;_x000d__x000a_        &amp;lt;CaseTypeDesc&amp;gt;תמ&amp;quot;ש&amp;lt;/CaseTypeDesc&amp;gt;_x000d__x000a_        &amp;lt;CourtDesc&amp;gt;ענייני משפחה במחוז ת&amp;quot;א&amp;lt;/CourtDesc&amp;gt;_x000d__x000a_        &amp;lt;CaseStageDesc&amp;gt;תיק אלקטרוני&amp;lt;/CaseStageDesc&amp;gt;_x000d__x000a_        &amp;lt;CaseNextDeterminingTask&amp;gt;141&amp;lt;/CaseNextDeterminingTask&amp;gt;_x000d__x000a_        &amp;lt;CaseOpenDate&amp;gt;2023-01-16T07:00:00+02:00&amp;lt;/CaseOpenDate&amp;gt;_x000d__x000a_        &amp;lt;PleaTypeID&amp;gt;4&amp;lt;/PleaTypeID&amp;gt;_x000d__x000a_        &amp;lt;CourtLevelID&amp;gt;1&amp;lt;/CourtLevelID&amp;gt;_x000d__x000a_        &amp;lt;CourtLevelCaseTypeInterestID&amp;gt;1768&amp;lt;/CourtLevelCaseTypeInterestID&amp;gt;_x000d__x000a_        &amp;lt;CaseJudgeFirstName&amp;gt;תמר&amp;lt;/CaseJudgeFirstName&amp;gt;_x000d__x000a_        &amp;lt;CaseJudgeLastName&amp;gt;סנונית פורר&amp;lt;/CaseJudgeLastName&amp;gt;_x000d__x000a_        &amp;lt;JudicalPersonID&amp;gt;032014706@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16T10:06:01.2635593+03:00&amp;lt;/DecisionStatusChangeDate&amp;gt;_x000d__x000a_        &amp;lt;DecisionSignatureDate&amp;gt;2024-08-16T10:06:01.2635593+03:00&amp;lt;/DecisionSignatureDate&amp;gt;_x000d__x000a_        &amp;lt;DecisionSignatureUserID&amp;gt;032014706@GOV.IL&amp;lt;/DecisionSignatureUserID&amp;gt;_x000d__x000a_        &amp;lt;DecisionCreateDate&amp;gt;2024-08-16T10:06:01.2635593+03:00&amp;lt;/DecisionCreateDate&amp;gt;_x000d__x000a_        &amp;lt;DecisionChangeDate&amp;gt;2024-08-16T10:06:01.2635593+03:00&amp;lt;/DecisionChangeDate&amp;gt;_x000d__x000a_        &amp;lt;DecisionChangeUserID&amp;gt;032014706@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0147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01470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91875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2"/>
    <w:docVar w:name="NGCS.TemplateCaseTypeID" w:val="15"/>
    <w:docVar w:name="NGCS.TemplateCategoryID" w:val="80"/>
    <w:docVar w:name="NGCS.TemplateCourtID" w:val="33"/>
    <w:docVar w:name="NGCS.TemplateProceedingID" w:val="3"/>
    <w:docVar w:name="SelectedDocumentID" w:val="434719698"/>
    <w:docVar w:name="WordClientAssemblyName" w:val="NGCS.Decision.ClientWordBL"/>
    <w:docVar w:name="WordClientClassName" w:val="NGCS.Decision.ClientWordBL.DecisionClient"/>
  </w:docVars>
  <w:rsids>
    <w:rsidRoot w:val="002914D6"/>
    <w:rsid w:val="0000713B"/>
    <w:rsid w:val="00011212"/>
    <w:rsid w:val="00050B50"/>
    <w:rsid w:val="00082772"/>
    <w:rsid w:val="00084C61"/>
    <w:rsid w:val="000A4AF4"/>
    <w:rsid w:val="000C0472"/>
    <w:rsid w:val="001924E8"/>
    <w:rsid w:val="00197F77"/>
    <w:rsid w:val="001A5708"/>
    <w:rsid w:val="001F6EC9"/>
    <w:rsid w:val="00241BC9"/>
    <w:rsid w:val="00265648"/>
    <w:rsid w:val="002914D6"/>
    <w:rsid w:val="002F5307"/>
    <w:rsid w:val="00304541"/>
    <w:rsid w:val="003F30FC"/>
    <w:rsid w:val="004646B5"/>
    <w:rsid w:val="0047295D"/>
    <w:rsid w:val="004F045C"/>
    <w:rsid w:val="00666802"/>
    <w:rsid w:val="00696D6F"/>
    <w:rsid w:val="006A0DDC"/>
    <w:rsid w:val="006C4051"/>
    <w:rsid w:val="006D2B2B"/>
    <w:rsid w:val="00701B61"/>
    <w:rsid w:val="007C1077"/>
    <w:rsid w:val="007C6BD7"/>
    <w:rsid w:val="00822AA5"/>
    <w:rsid w:val="008A3446"/>
    <w:rsid w:val="008D1B13"/>
    <w:rsid w:val="0091072C"/>
    <w:rsid w:val="009108D7"/>
    <w:rsid w:val="009152E8"/>
    <w:rsid w:val="009416D6"/>
    <w:rsid w:val="00A03D28"/>
    <w:rsid w:val="00A04A0B"/>
    <w:rsid w:val="00A9560C"/>
    <w:rsid w:val="00AA2474"/>
    <w:rsid w:val="00BD18F5"/>
    <w:rsid w:val="00BD5B6B"/>
    <w:rsid w:val="00C40239"/>
    <w:rsid w:val="00C931BD"/>
    <w:rsid w:val="00D358FE"/>
    <w:rsid w:val="00D4093A"/>
    <w:rsid w:val="00D54B3A"/>
    <w:rsid w:val="00DC4F90"/>
    <w:rsid w:val="00DD67F2"/>
    <w:rsid w:val="00E9298F"/>
    <w:rsid w:val="00F50E07"/>
    <w:rsid w:val="00F54C04"/>
    <w:rsid w:val="00F706EB"/>
    <w:rsid w:val="00FA3D1E"/>
    <w:rsid w:val="00FC3D4E"/>
    <w:rsid w:val="00FD747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901988-1ADC-493A-A2ED-5A09ACE7A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character" w:styleId="Hyperlink">
    <w:name w:val="Hyperlink"/>
    <w:basedOn w:val="a0"/>
    <w:uiPriority w:val="99"/>
    <w:semiHidden/>
    <w:unhideWhenUsed/>
    <w:rsid w:val="001F6EC9"/>
    <w:rPr>
      <w:color w:val="0000FF"/>
      <w:u w:val="single"/>
    </w:rPr>
  </w:style>
  <w:style w:type="paragraph" w:styleId="ad">
    <w:name w:val="List Paragraph"/>
    <w:basedOn w:val="a"/>
    <w:uiPriority w:val="34"/>
    <w:qFormat/>
    <w:rsid w:val="001F6EC9"/>
    <w:pPr>
      <w:ind w:left="720"/>
      <w:contextualSpacing/>
    </w:pPr>
  </w:style>
  <w:style w:type="character" w:customStyle="1" w:styleId="ae">
    <w:name w:val="תואר תו"/>
    <w:link w:val="af"/>
    <w:locked/>
    <w:rsid w:val="001F6EC9"/>
    <w:rPr>
      <w:b/>
      <w:bCs/>
      <w:szCs w:val="28"/>
      <w:u w:val="single"/>
      <w:shd w:val="pct20" w:color="auto" w:fill="FFFFFF"/>
      <w:lang w:eastAsia="he-IL"/>
    </w:rPr>
  </w:style>
  <w:style w:type="paragraph" w:customStyle="1" w:styleId="af">
    <w:name w:val="תואר"/>
    <w:basedOn w:val="a"/>
    <w:link w:val="ae"/>
    <w:qFormat/>
    <w:rsid w:val="001F6EC9"/>
    <w:pPr>
      <w:shd w:val="pct20" w:color="auto" w:fill="FFFFFF"/>
      <w:spacing w:line="480" w:lineRule="auto"/>
      <w:ind w:left="1701" w:hanging="1701"/>
      <w:jc w:val="center"/>
    </w:pPr>
    <w:rPr>
      <w:rFonts w:cs="Times New Roman"/>
      <w:b/>
      <w:bCs/>
      <w:noProof w:val="0"/>
      <w:sz w:val="20"/>
      <w:szCs w:val="28"/>
      <w:u w:val="single"/>
      <w:lang w:eastAsia="he-IL"/>
    </w:rPr>
  </w:style>
  <w:style w:type="paragraph" w:styleId="af0">
    <w:name w:val="Revision"/>
    <w:hidden/>
    <w:uiPriority w:val="99"/>
    <w:semiHidden/>
    <w:rsid w:val="00FD747E"/>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79918750</CaseID>
    <CaseJudicialPersonPresentationDS>
      <CaseJudicalPersonActive>
        <CaseID>79918750</CaseID>
        <JudicialPersonID>032014706@GOV.IL</JudicialPersonID>
        <JudicialPersonTypeID>1</JudicialPersonTypeID>
        <JudicialTypeID>1</JudicialTypeID>
        <IsChairman>false</IsChairman>
        <TreatmentStartDate>2023-01-16T11:00:04.327+02:00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בית משפט </RoleName>
        <IsSubProceeding>FALSE</IsSubProceeding>
        <FullName>עו"ס מורן אברהמי</FullName>
        <FirstName>עו"ס מורן</FirstName>
        <LastName>אברהמי</LastName>
        <PartyPropertyName/>
        <AuthenticationTypeAndNumber>ת"ז </AuthenticationTypeAndNumber>
        <RepresentatedOrRepresentativesNames/>
        <RepresentatedOrRepresentativesCount>0</RepresentatedOrRepresentativesCount>
        <InvitedBy/>
        <CaseID>79918750</CaseID>
        <CaseJudicialPersonPresentationDS>
          <CaseJudicalPersonActive>
            <CaseID>79918750</CaseID>
            <JudicialPersonID>032014706@GOV.IL</JudicialPersonID>
            <JudicialPersonTypeID>1</JudicialPersonTypeID>
            <JudicialTypeID>1</JudicialTypeID>
            <IsChairman>false</IsChairman>
            <TreatmentStartDate>2023-01-16T11:00:04.327+02:00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261693848</CasePartyID>
        <PartyTypeID>4</PartyTypeID>
        <ActivityStatusID>1</ActivityStatusID>
        <PartyAliasID>101</PartyAliasID>
        <PartyAliasName>עד בית משפט</PartyAliasName>
        <LegalEntityID>81513111</LegalEntityID>
        <CaseLegalEntityID>126325874</CaseLegalEntityID>
        <AuthenticationTypeID>1</AuthenticationTypeID>
        <AuthenticationTypeName>ת"ז</AuthenticationTypeName>
        <IsMainPartyType>true</IsMainPartyType>
        <CaseDisplayIdentifier>37960-01-23</CaseDisplayIdentifier>
        <CaseTypeID>15</CaseTypeID>
        <CaseTypeName>תיק משפחה (תמ"ש)</CaseTypeName>
        <CaseName>אריאלי נ' חן</CaseName>
        <FullAddress>הרצל 90 ראשון לציון </FullAddress>
        <EmailAddress>morank@rishonlezion.muni.il</EmailAddress>
        <MotionID>0</MotionID>
        <CasePleaID>0</CasePleaID>
        <LinkedCaseID>0</LinkedCaseID>
        <PartyID>1</PartyID>
        <CasePartyCategoryID>2</CasePartyCategoryID>
        <LegalEntityAddressID>88742539</LegalEntityAddressID>
        <LegalEntityEmailAddressID>68333988</LegalEntityEmailAddressID>
        <PleaTypeID>4</PleaTypeID>
        <GroupPartyAlias/>
        <IsConverted>false</IsConverted>
        <LegalEntityNameID>95611605</LegalEntityNameID>
        <RepresentatedNamesOfAssistant/>
        <LegalEntityTypeID>1</LegalEntityTypeID>
        <IsVerdictExists>false</IsVerdictExists>
        <IsAsirAzir>false</IsAsirAzir>
        <MainAndSecSpec/>
        <IsPublicationProhibited>false</IsPublicationProhibited>
        <PublicationProhibitedFullName>עו"ס מורן אברהמי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לורי גייזלר</FullName>
        <FirstName>לורי</FirstName>
        <LastName>גייזלר</LastName>
        <PartyPropertyName/>
        <AuthenticationTypeAndNumber>מ.ר. 28741</AuthenticationTypeAndNumber>
        <RepresentatedOrRepresentativesNames>רוני אריאלי</RepresentatedOrRepresentativesNames>
        <RepresentatedOrRepresentativesCount>1</RepresentatedOrRepresentativesCount>
        <InvitedBy/>
        <CaseID>79918750</CaseID>
        <CaseJudicialPersonPresentationDS>
          <CaseJudicalPersonActive>
            <CaseID>79918750</CaseID>
            <JudicialPersonID>032014706@GOV.IL</JudicialPersonID>
            <JudicialPersonTypeID>1</JudicialPersonTypeID>
            <JudicialTypeID>1</JudicialTypeID>
            <IsChairman>false</IsChairman>
            <TreatmentStartDate>2023-01-16T11:00:04.327+02:00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251635452</CasePartyID>
        <PartyTypeID>2</PartyTypeID>
        <ActivityStatusID>1</ActivityStatusID>
        <PartyAliasID>21</PartyAliasID>
        <PartyAliasName>בא כוח נתבעים</PartyAliasName>
        <LegalEntityID>388631</LegalEntityID>
        <CaseLegalEntityID>123096588</CaseLegalEntityID>
        <AuthenticationTypeID>4</AuthenticationTypeID>
        <AuthenticationTypeName>מ.ר.</AuthenticationTypeName>
        <LegalEntityNumber>28741</LegalEntityNumber>
        <IsMainPartyType>true</IsMainPartyType>
        <CaseDisplayIdentifier>37960-01-23</CaseDisplayIdentifier>
        <CaseTypeID>15</CaseTypeID>
        <CaseTypeName>תיק משפחה (תמ"ש)</CaseTypeName>
        <CaseName>אריאלי נ' חן</CaseName>
        <FullAddress>ז'בוטינסקי 9 בני ברק מגדל הכשרת הישוב קומה 26</FullAddress>
        <EmailAddress>lori@geizler.co.il</EmailAddress>
        <MotionID>0</MotionID>
        <CasePleaID>0</CasePleaID>
        <LinkedCaseID>0</LinkedCaseID>
        <PartyID>2</PartyID>
        <CasePartyCategoryID>2</CasePartyCategoryID>
        <LegalEntityAddressID>85540215</LegalEntityAddressID>
        <LegalEntityEmailAddressID>67870585</LegalEntityEmailAddressID>
        <PleaTypeID>4</PleaTypeID>
        <LawyerOfficeName>משרד עו"ד: לורי גייזלר</LawyerOfficeName>
        <LawyerOfficeID>429275</LawyerOfficeID>
        <GroupPartyAlias/>
        <IsConverted>false</IsConverted>
        <LegalEntityNameID>9615</LegalEntityNameID>
        <RepresentatedNamesOfAssistant/>
        <LegalEntityTypeID>4</LegalEntityTypeID>
        <IsVerdictExists>false</IsVerdictExists>
        <IsAsirAzir>false</IsAsirAzir>
        <MainAndSecSpec/>
        <IsPublicationProhibited>false</IsPublicationProhibited>
        <PublicationProhibitedFullName>לורי גייזלר</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קרן חן</FullName>
        <FirstName>קרן</FirstName>
        <LastName>חן</LastName>
        <PartyPropertyName/>
        <AuthenticationTypeAndNumber>ת"ז </AuthenticationTypeAndNumber>
        <RepresentatedOrRepresentativesNames/>
        <RepresentatedOrRepresentativesCount>0</RepresentatedOrRepresentativesCount>
        <InvitedBy/>
        <CaseID>79918750</CaseID>
        <CaseJudicialPersonPresentationDS>
          <CaseJudicalPersonActive>
            <CaseID>79918750</CaseID>
            <JudicialPersonID>032014706@GOV.IL</JudicialPersonID>
            <JudicialPersonTypeID>1</JudicialPersonTypeID>
            <JudicialTypeID>1</JudicialTypeID>
            <IsChairman>false</IsChairman>
            <TreatmentStartDate>2023-01-16T11:00:04.327+02:00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261693884</CasePartyID>
        <PartyTypeID>4</PartyTypeID>
        <ActivityStatusID>1</ActivityStatusID>
        <PartyAliasID>101</PartyAliasID>
        <PartyAliasName>עד בית משפט</PartyAliasName>
        <OrdinalNumber>1</OrdinalNumber>
        <LegalEntityID>81513113</LegalEntityID>
        <CaseLegalEntityID>126325887</CaseLegalEntityID>
        <AuthenticationTypeID>1</AuthenticationTypeID>
        <AuthenticationTypeName>ת"ז</AuthenticationTypeName>
        <IsMainPartyType>true</IsMainPartyType>
        <CaseDisplayIdentifier>37960-01-23</CaseDisplayIdentifier>
        <CaseTypeID>15</CaseTypeID>
        <CaseTypeName>תיק משפחה (תמ"ש)</CaseTypeName>
        <CaseName>אריאלי נ' חן</CaseName>
        <FullAddress>הגלעד 10 ראשון לציון </FullAddress>
        <MotionID>0</MotionID>
        <CasePleaID>0</CasePleaID>
        <LinkedCaseID>0</LinkedCaseID>
        <PartyID>1</PartyID>
        <CasePartyCategoryID>2</CasePartyCategoryID>
        <LegalEntityAddressID>88522201</LegalEntityAddressID>
        <PleaTypeID>4</PleaTypeID>
        <GroupPartyAlias/>
        <IsConverted>false</IsConverted>
        <LegalEntityNameID>95611611</LegalEntityNameID>
        <RepresentatedNamesOfAssistant/>
        <LegalEntityTypeID>1</LegalEntityTypeID>
        <IsVerdictExists>false</IsVerdictExists>
        <IsAsirAzir>false</IsAsirAzir>
        <MainAndSecSpec/>
        <IsPublicationProhibited>false</IsPublicationProhibited>
        <PublicationProhibitedFullName>קרן חן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אלעד אריאלי</FullName>
        <FirstName>אלעד</FirstName>
        <LastName>אריאלי</LastName>
        <PartyPropertyName/>
        <AuthenticationTypeAndNumber>ת"ז 036798809</AuthenticationTypeAndNumber>
        <RepresentatedOrRepresentativesNames>ורד לוי</RepresentatedOrRepresentativesNames>
        <RepresentatedOrRepresentativesCount>1</RepresentatedOrRepresentativesCount>
        <InvitedBy/>
        <CaseID>79918750</CaseID>
        <CaseJudicialPersonPresentationDS>
          <CaseJudicalPersonActive>
            <CaseID>79918750</CaseID>
            <JudicialPersonID>032014706@GOV.IL</JudicialPersonID>
            <JudicialPersonTypeID>1</JudicialPersonTypeID>
            <JudicialTypeID>1</JudicialTypeID>
            <IsChairman>false</IsChairman>
            <TreatmentStartDate>2023-01-16T11:00:04.327+02:00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250630279</CasePartyID>
        <PartyTypeID>1</PartyTypeID>
        <ActivityStatusID>1</ActivityStatusID>
        <PartyAliasID>1</PartyAliasID>
        <PartyAliasName>תובע</PartyAliasName>
        <OrdinalNumber>1</OrdinalNumber>
        <LegalEntityID>6162586</LegalEntityID>
        <CaseLegalEntityID>122784858</CaseLegalEntityID>
        <AuthenticationTypeID>1</AuthenticationTypeID>
        <AuthenticationTypeName>ת"ז</AuthenticationTypeName>
        <LegalEntityNumber>036798809</LegalEntityNumber>
        <IsMainPartyType>true</IsMainPartyType>
        <CaseDisplayIdentifier>37960-01-23</CaseDisplayIdentifier>
        <CaseTypeID>15</CaseTypeID>
        <CaseTypeName>תיק משפחה (תמ"ש)</CaseTypeName>
        <CaseName>אריאלי נ' חן</CaseName>
        <FullAddress>ביאליק 40  מגורים</FullAddress>
        <MotionID>0</MotionID>
        <CasePleaID>0</CasePleaID>
        <FatherName>ישראל</FatherName>
        <LinkedCaseID>0</LinkedCaseID>
        <PartyID>1</PartyID>
        <CasePartyCategoryID>2</CasePartyCategoryID>
        <LegalEntityAddressID>87434268</LegalEntityAddressID>
        <PleaTypeID>4</PleaTypeID>
        <GroupPartyAlias>תובעים</GroupPartyAlias>
        <IsConverted>false</IsConverted>
        <LegalEntityRegisteredNameID>1644797</LegalEntityRegisteredNameID>
        <LegalEntityNameID>94264650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אלעד אריאלי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ורד לוי</FullName>
        <FirstName>ורד</FirstName>
        <LastName>לוי</LastName>
        <PartyPropertyName/>
        <AuthenticationTypeAndNumber>מ.ר. 53612</AuthenticationTypeAndNumber>
        <RepresentatedOrRepresentativesNames>אלעד אריאלי</RepresentatedOrRepresentativesNames>
        <RepresentatedOrRepresentativesCount>1</RepresentatedOrRepresentativesCount>
        <InvitedBy/>
        <CaseID>79918750</CaseID>
        <CaseJudicialPersonPresentationDS>
          <CaseJudicalPersonActive>
            <CaseID>79918750</CaseID>
            <JudicialPersonID>032014706@GOV.IL</JudicialPersonID>
            <JudicialPersonTypeID>1</JudicialPersonTypeID>
            <JudicialTypeID>1</JudicialTypeID>
            <IsChairman>false</IsChairman>
            <TreatmentStartDate>2023-01-16T11:00:04.327+02:00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250630280</CasePartyID>
        <PartyTypeID>2</PartyTypeID>
        <ActivityStatusID>1</ActivityStatusID>
        <PartyAliasID>20</PartyAliasID>
        <PartyAliasName>בא כוח תובעים</PartyAliasName>
        <OrdinalNumber>1</OrdinalNumber>
        <LegalEntityID>71110905</LegalEntityID>
        <CaseLegalEntityID>122784859</CaseLegalEntityID>
        <AuthenticationTypeID>4</AuthenticationTypeID>
        <AuthenticationTypeName>מ.ר.</AuthenticationTypeName>
        <LegalEntityNumber>53612</LegalEntityNumber>
        <IsMainPartyType>true</IsMainPartyType>
        <CaseDisplayIdentifier>37960-01-23</CaseDisplayIdentifier>
        <CaseTypeID>15</CaseTypeID>
        <CaseTypeName>תיק משפחה (תמ"ש)</CaseTypeName>
        <CaseName>אריאלי נ' חן</CaseName>
        <FullAddress>פדיה פדיה </FullAddress>
        <EmailAddress>lvered.adv@gmail.com</EmailAddress>
        <MotionID>0</MotionID>
        <CasePleaID>0</CasePleaID>
        <LinkedCaseID>0</LinkedCaseID>
        <PartyID>1</PartyID>
        <CasePartyCategoryID>2</CasePartyCategoryID>
        <LegalEntityAddressID>72631161</LegalEntityAddressID>
        <LegalEntityEmailAddressID>67974356</LegalEntityEmailAddressID>
        <PleaTypeID>4</PleaTypeID>
        <GroupPartyAlias/>
        <IsConverted>false</IsConverted>
        <LegalEntityNameID>74029378</LegalEntityNameID>
        <RepresentatedNamesOfAssistant/>
        <LegalEntityTypeID>4</LegalEntityTypeID>
        <IsVerdictExists>false</IsVerdictExists>
        <IsAsirAzir>false</IsAsirAzir>
        <MainAndSecSpec/>
        <IsPublicationProhibited>false</IsPublicationProhibited>
        <PublicationProhibitedFullName>ורד לוי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רוני אריאלי</FullName>
        <FirstName>רוני</FirstName>
        <LastName>אריאלי</LastName>
        <PartyPropertyName/>
        <AuthenticationTypeAndNumber>ת"ז 302856935</AuthenticationTypeAndNumber>
        <RepresentatedOrRepresentativesNames>לורי גייזלר</RepresentatedOrRepresentativesNames>
        <RepresentatedOrRepresentativesCount>1</RepresentatedOrRepresentativesCount>
        <InvitedBy/>
        <CaseID>79918750</CaseID>
        <CaseJudicialPersonPresentationDS>
          <CaseJudicalPersonActive>
            <CaseID>79918750</CaseID>
            <JudicialPersonID>032014706@GOV.IL</JudicialPersonID>
            <JudicialPersonTypeID>1</JudicialPersonTypeID>
            <JudicialTypeID>1</JudicialTypeID>
            <IsChairman>false</IsChairman>
            <TreatmentStartDate>2023-01-16T11:00:04.327+02:00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250630281</CasePartyID>
        <PartyTypeID>1</PartyTypeID>
        <ActivityStatusID>1</ActivityStatusID>
        <PartyAliasID>2</PartyAliasID>
        <PartyAliasName>נתבע</PartyAliasName>
        <OrdinalNumber>1</OrdinalNumber>
        <LegalEntityID>77961027</LegalEntityID>
        <CaseLegalEntityID>122784860</CaseLegalEntityID>
        <AuthenticationTypeID>1</AuthenticationTypeID>
        <AuthenticationTypeName>ת"ז</AuthenticationTypeName>
        <LegalEntityNumber>302856935</LegalEntityNumber>
        <IsMainPartyType>true</IsMainPartyType>
        <CaseDisplayIdentifier>37960-01-23</CaseDisplayIdentifier>
        <CaseTypeID>15</CaseTypeID>
        <CaseTypeName>תיק משפחה (תמ"ש)</CaseTypeName>
        <CaseName>אריאלי נ' חן</CaseName>
        <FullAddress>הגלעד 10 ראשון לציון מגורים</FullAddress>
        <MotionID>0</MotionID>
        <CasePleaID>0</CasePleaID>
        <FatherName>עמוס</FatherName>
        <LinkedCaseID>0</LinkedCaseID>
        <PartyID>2</PartyID>
        <CasePartyCategoryID>2</CasePartyCategoryID>
        <LegalEntityAddressID>87434269</LegalEntityAddressID>
        <PleaTypeID>4</PleaTypeID>
        <GroupPartyAlias>נתבעים</GroupPartyAlias>
        <IsConverted>false</IsConverted>
        <LegalEntityRegisteredNameID>9339515</LegalEntityRegisteredNameID>
        <LegalEntityNameID>94264651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רוני אריאלי</PublicationProhibitedFullName>
      </CaseParties>
    </CasePartiesSelectionDS>
    <DecisionName>פסק דין  שניתנה ע"י  תמר סנונית פורר</DecisionName>
    <CourtDisplayName>בית משפט לענייני משפחה בתל אביב -יפו</CourtDisplayName>
    <IsCaseJudgePanel>false</IsCaseJudgePanel>
    <DecisionSignatureDate>2024-08-16T10:06:01.2635593+03:00</DecisionSignatureDate>
    <OpenCaseDate>2023-01-16T07:00:00+02:00</OpenCaseDate>
    <CaseFeeSum>100000.000</CaseFeeSum>
    <DecisionTypeID>2</DecisionTypeID>
    <DecisionSignatureUserName>תמר סנונית פורר</DecisionSignatureUserName>
    <DecisionSignatureDateHebrew>2024-08-16T10:06:01.2635593+03:00</DecisionSignatureDateHebrew>
    <DecisionWriterID>032014706@GOV.IL</DecisionWriterID>
    <CourtAddress>רח' ויצמן 1, תל אביב -יפו 64239</CourtAddress>
    <IsAutoTextInCaseExist>false</IsAutoTextInCaseExist>
    <DecisionSignatureRoleName>שופט</DecisionSignatureRoleName>
    <DecisionSignatureUserTitleName>שופטת</DecisionSignatureUserTitleName>
    <CaseName>אריאלי נ' חן</CaseName>
    <DecisionNumberInCase>21</DecisionNumberInCase>
  </dt_Decision>
  <dt_DecisionCase>
    <DecisionID>0</DecisionID>
    <CaseID>79918750</CaseID>
    <CaseJudicialPersonPresentationDS>
      <CaseJudicalPersonActive>
        <CaseID>79918750</CaseID>
        <JudicialPersonID>032014706@GOV.IL</JudicialPersonID>
        <JudicialPersonTypeID>1</JudicialPersonTypeID>
        <JudicialTypeID>1</JudicialTypeID>
        <IsChairman>false</IsChairman>
        <TreatmentStartDate>2023-01-16T11:00:04.327+02:00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בית משפט </RoleName>
        <IsSubProceeding>FALSE</IsSubProceeding>
        <FullName>עו"ס מורן אברהמי</FullName>
        <FirstName>עו"ס מורן</FirstName>
        <LastName>אברהמי</LastName>
        <PartyPropertyName/>
        <AuthenticationTypeAndNumber>ת"ז </AuthenticationTypeAndNumber>
        <RepresentatedOrRepresentativesNames/>
        <RepresentatedOrRepresentativesCount>0</RepresentatedOrRepresentativesCount>
        <InvitedBy/>
        <CaseID>79918750</CaseID>
        <CaseJudicialPersonPresentationDS>
          <CaseJudicalPersonActive>
            <CaseID>79918750</CaseID>
            <JudicialPersonID>032014706@GOV.IL</JudicialPersonID>
            <JudicialPersonTypeID>1</JudicialPersonTypeID>
            <JudicialTypeID>1</JudicialTypeID>
            <IsChairman>false</IsChairman>
            <TreatmentStartDate>2023-01-16T11:00:04.327+02:00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261693848</CasePartyID>
        <PartyTypeID>4</PartyTypeID>
        <ActivityStatusID>1</ActivityStatusID>
        <PartyAliasID>101</PartyAliasID>
        <PartyAliasName>עד בית משפט</PartyAliasName>
        <LegalEntityID>81513111</LegalEntityID>
        <CaseLegalEntityID>126325874</CaseLegalEntityID>
        <AuthenticationTypeID>1</AuthenticationTypeID>
        <AuthenticationTypeName>ת"ז</AuthenticationTypeName>
        <IsMainPartyType>true</IsMainPartyType>
        <CaseDisplayIdentifier>37960-01-23</CaseDisplayIdentifier>
        <CaseTypeID>15</CaseTypeID>
        <CaseTypeName>תיק משפחה (תמ"ש)</CaseTypeName>
        <CaseName>אריאלי נ' חן</CaseName>
        <FullAddress>הרצל 90 ראשון לציון </FullAddress>
        <EmailAddress>morank@rishonlezion.muni.il</EmailAddress>
        <MotionID>0</MotionID>
        <CasePleaID>0</CasePleaID>
        <LinkedCaseID>0</LinkedCaseID>
        <PartyID>1</PartyID>
        <CasePartyCategoryID>2</CasePartyCategoryID>
        <LegalEntityAddressID>88742539</LegalEntityAddressID>
        <LegalEntityEmailAddressID>68333988</LegalEntityEmailAddressID>
        <PleaTypeID>4</PleaTypeID>
        <GroupPartyAlias/>
        <IsConverted>false</IsConverted>
        <LegalEntityNameID>95611605</LegalEntityNameID>
        <RepresentatedNamesOfAssistant/>
        <LegalEntityTypeID>1</LegalEntityTypeID>
        <IsVerdictExists>false</IsVerdictExists>
        <IsAsirAzir>false</IsAsirAzir>
        <MainAndSecSpec/>
        <IsPublicationProhibited>false</IsPublicationProhibited>
        <PublicationProhibitedFullName>עו"ס מורן אברהמי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לורי גייזלר</FullName>
        <FirstName>לורי</FirstName>
        <LastName>גייזלר</LastName>
        <PartyPropertyName/>
        <AuthenticationTypeAndNumber>מ.ר. 28741</AuthenticationTypeAndNumber>
        <RepresentatedOrRepresentativesNames>רוני אריאלי</RepresentatedOrRepresentativesNames>
        <RepresentatedOrRepresentativesCount>1</RepresentatedOrRepresentativesCount>
        <InvitedBy/>
        <CaseID>79918750</CaseID>
        <CaseJudicialPersonPresentationDS>
          <CaseJudicalPersonActive>
            <CaseID>79918750</CaseID>
            <JudicialPersonID>032014706@GOV.IL</JudicialPersonID>
            <JudicialPersonTypeID>1</JudicialPersonTypeID>
            <JudicialTypeID>1</JudicialTypeID>
            <IsChairman>false</IsChairman>
            <TreatmentStartDate>2023-01-16T11:00:04.327+02:00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251635452</CasePartyID>
        <PartyTypeID>2</PartyTypeID>
        <ActivityStatusID>1</ActivityStatusID>
        <PartyAliasID>21</PartyAliasID>
        <PartyAliasName>בא כוח נתבעים</PartyAliasName>
        <LegalEntityID>388631</LegalEntityID>
        <CaseLegalEntityID>123096588</CaseLegalEntityID>
        <AuthenticationTypeID>4</AuthenticationTypeID>
        <AuthenticationTypeName>מ.ר.</AuthenticationTypeName>
        <LegalEntityNumber>28741</LegalEntityNumber>
        <IsMainPartyType>true</IsMainPartyType>
        <CaseDisplayIdentifier>37960-01-23</CaseDisplayIdentifier>
        <CaseTypeID>15</CaseTypeID>
        <CaseTypeName>תיק משפחה (תמ"ש)</CaseTypeName>
        <CaseName>אריאלי נ' חן</CaseName>
        <FullAddress>ז'בוטינסקי 9 בני ברק מגדל הכשרת הישוב קומה 26</FullAddress>
        <EmailAddress>lori@geizler.co.il</EmailAddress>
        <MotionID>0</MotionID>
        <CasePleaID>0</CasePleaID>
        <LinkedCaseID>0</LinkedCaseID>
        <PartyID>2</PartyID>
        <CasePartyCategoryID>2</CasePartyCategoryID>
        <LegalEntityAddressID>85540215</LegalEntityAddressID>
        <LegalEntityEmailAddressID>67870585</LegalEntityEmailAddressID>
        <PleaTypeID>4</PleaTypeID>
        <LawyerOfficeName>משרד עו"ד: לורי גייזלר</LawyerOfficeName>
        <LawyerOfficeID>429275</LawyerOfficeID>
        <GroupPartyAlias/>
        <IsConverted>false</IsConverted>
        <LegalEntityNameID>9615</LegalEntityNameID>
        <RepresentatedNamesOfAssistant/>
        <LegalEntityTypeID>4</LegalEntityTypeID>
        <IsVerdictExists>false</IsVerdictExists>
        <IsAsirAzir>false</IsAsirAzir>
        <MainAndSecSpec/>
        <IsPublicationProhibited>false</IsPublicationProhibited>
        <PublicationProhibitedFullName>לורי גייזלר</PublicationProhibitedFullName>
      </CaseParties>
      <CaseParties>
        <PartyTypeName>עד</PartyTypeName>
        <ProceedingType>כתב טענות עיקרי</ProceedingType>
        <PleaName>כתב תביעה</PleaName>
        <PartyBelonging> - </PartyBelonging>
        <RoleName>עד בית משפט 1</RoleName>
        <IsSubProceeding>FALSE</IsSubProceeding>
        <FullName>קרן חן</FullName>
        <FirstName>קרן</FirstName>
        <LastName>חן</LastName>
        <PartyPropertyName/>
        <AuthenticationTypeAndNumber>ת"ז </AuthenticationTypeAndNumber>
        <RepresentatedOrRepresentativesNames/>
        <RepresentatedOrRepresentativesCount>0</RepresentatedOrRepresentativesCount>
        <InvitedBy/>
        <CaseID>79918750</CaseID>
        <CaseJudicialPersonPresentationDS>
          <CaseJudicalPersonActive>
            <CaseID>79918750</CaseID>
            <JudicialPersonID>032014706@GOV.IL</JudicialPersonID>
            <JudicialPersonTypeID>1</JudicialPersonTypeID>
            <JudicialTypeID>1</JudicialTypeID>
            <IsChairman>false</IsChairman>
            <TreatmentStartDate>2023-01-16T11:00:04.327+02:00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261693884</CasePartyID>
        <PartyTypeID>4</PartyTypeID>
        <ActivityStatusID>1</ActivityStatusID>
        <PartyAliasID>101</PartyAliasID>
        <PartyAliasName>עד בית משפט</PartyAliasName>
        <OrdinalNumber>1</OrdinalNumber>
        <LegalEntityID>81513113</LegalEntityID>
        <CaseLegalEntityID>126325887</CaseLegalEntityID>
        <AuthenticationTypeID>1</AuthenticationTypeID>
        <AuthenticationTypeName>ת"ז</AuthenticationTypeName>
        <IsMainPartyType>true</IsMainPartyType>
        <CaseDisplayIdentifier>37960-01-23</CaseDisplayIdentifier>
        <CaseTypeID>15</CaseTypeID>
        <CaseTypeName>תיק משפחה (תמ"ש)</CaseTypeName>
        <CaseName>אריאלי נ' חן</CaseName>
        <FullAddress>הגלעד 10 ראשון לציון </FullAddress>
        <MotionID>0</MotionID>
        <CasePleaID>0</CasePleaID>
        <LinkedCaseID>0</LinkedCaseID>
        <PartyID>1</PartyID>
        <CasePartyCategoryID>2</CasePartyCategoryID>
        <LegalEntityAddressID>88522201</LegalEntityAddressID>
        <PleaTypeID>4</PleaTypeID>
        <GroupPartyAlias/>
        <IsConverted>false</IsConverted>
        <LegalEntityNameID>95611611</LegalEntityNameID>
        <RepresentatedNamesOfAssistant/>
        <LegalEntityTypeID>1</LegalEntityTypeID>
        <IsVerdictExists>false</IsVerdictExists>
        <IsAsirAzir>false</IsAsirAzir>
        <MainAndSecSpec/>
        <IsPublicationProhibited>false</IsPublicationProhibited>
        <PublicationProhibitedFullName>קרן חן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אלעד אריאלי</FullName>
        <FirstName>אלעד</FirstName>
        <LastName>אריאלי</LastName>
        <PartyPropertyName/>
        <AuthenticationTypeAndNumber>ת"ז 036798809</AuthenticationTypeAndNumber>
        <RepresentatedOrRepresentativesNames>ורד לוי</RepresentatedOrRepresentativesNames>
        <RepresentatedOrRepresentativesCount>1</RepresentatedOrRepresentativesCount>
        <InvitedBy/>
        <CaseID>79918750</CaseID>
        <CaseJudicialPersonPresentationDS>
          <CaseJudicalPersonActive>
            <CaseID>79918750</CaseID>
            <JudicialPersonID>032014706@GOV.IL</JudicialPersonID>
            <JudicialPersonTypeID>1</JudicialPersonTypeID>
            <JudicialTypeID>1</JudicialTypeID>
            <IsChairman>false</IsChairman>
            <TreatmentStartDate>2023-01-16T11:00:04.327+02:00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250630279</CasePartyID>
        <PartyTypeID>1</PartyTypeID>
        <ActivityStatusID>1</ActivityStatusID>
        <PartyAliasID>1</PartyAliasID>
        <PartyAliasName>תובע</PartyAliasName>
        <OrdinalNumber>1</OrdinalNumber>
        <LegalEntityID>6162586</LegalEntityID>
        <CaseLegalEntityID>122784858</CaseLegalEntityID>
        <AuthenticationTypeID>1</AuthenticationTypeID>
        <AuthenticationTypeName>ת"ז</AuthenticationTypeName>
        <LegalEntityNumber>036798809</LegalEntityNumber>
        <IsMainPartyType>true</IsMainPartyType>
        <CaseDisplayIdentifier>37960-01-23</CaseDisplayIdentifier>
        <CaseTypeID>15</CaseTypeID>
        <CaseTypeName>תיק משפחה (תמ"ש)</CaseTypeName>
        <CaseName>אריאלי נ' חן</CaseName>
        <FullAddress>ביאליק 40  מגורים</FullAddress>
        <MotionID>0</MotionID>
        <CasePleaID>0</CasePleaID>
        <FatherName>ישראל</FatherName>
        <LinkedCaseID>0</LinkedCaseID>
        <PartyID>1</PartyID>
        <CasePartyCategoryID>2</CasePartyCategoryID>
        <LegalEntityAddressID>87434268</LegalEntityAddressID>
        <PleaTypeID>4</PleaTypeID>
        <GroupPartyAlias>תובעים</GroupPartyAlias>
        <IsConverted>false</IsConverted>
        <LegalEntityRegisteredNameID>1644797</LegalEntityRegisteredNameID>
        <LegalEntityNameID>94264650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אלעד אריאלי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ורד לוי</FullName>
        <FirstName>ורד</FirstName>
        <LastName>לוי</LastName>
        <PartyPropertyName/>
        <AuthenticationTypeAndNumber>מ.ר. 53612</AuthenticationTypeAndNumber>
        <RepresentatedOrRepresentativesNames>אלעד אריאלי</RepresentatedOrRepresentativesNames>
        <RepresentatedOrRepresentativesCount>1</RepresentatedOrRepresentativesCount>
        <InvitedBy/>
        <CaseID>79918750</CaseID>
        <CaseJudicialPersonPresentationDS>
          <CaseJudicalPersonActive>
            <CaseID>79918750</CaseID>
            <JudicialPersonID>032014706@GOV.IL</JudicialPersonID>
            <JudicialPersonTypeID>1</JudicialPersonTypeID>
            <JudicialTypeID>1</JudicialTypeID>
            <IsChairman>false</IsChairman>
            <TreatmentStartDate>2023-01-16T11:00:04.327+02:00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250630280</CasePartyID>
        <PartyTypeID>2</PartyTypeID>
        <ActivityStatusID>1</ActivityStatusID>
        <PartyAliasID>20</PartyAliasID>
        <PartyAliasName>בא כוח תובעים</PartyAliasName>
        <OrdinalNumber>1</OrdinalNumber>
        <LegalEntityID>71110905</LegalEntityID>
        <CaseLegalEntityID>122784859</CaseLegalEntityID>
        <AuthenticationTypeID>4</AuthenticationTypeID>
        <AuthenticationTypeName>מ.ר.</AuthenticationTypeName>
        <LegalEntityNumber>53612</LegalEntityNumber>
        <IsMainPartyType>true</IsMainPartyType>
        <CaseDisplayIdentifier>37960-01-23</CaseDisplayIdentifier>
        <CaseTypeID>15</CaseTypeID>
        <CaseTypeName>תיק משפחה (תמ"ש)</CaseTypeName>
        <CaseName>אריאלי נ' חן</CaseName>
        <FullAddress>פדיה פדיה </FullAddress>
        <EmailAddress>lvered.adv@gmail.com</EmailAddress>
        <MotionID>0</MotionID>
        <CasePleaID>0</CasePleaID>
        <LinkedCaseID>0</LinkedCaseID>
        <PartyID>1</PartyID>
        <CasePartyCategoryID>2</CasePartyCategoryID>
        <LegalEntityAddressID>72631161</LegalEntityAddressID>
        <LegalEntityEmailAddressID>67974356</LegalEntityEmailAddressID>
        <PleaTypeID>4</PleaTypeID>
        <GroupPartyAlias/>
        <IsConverted>false</IsConverted>
        <LegalEntityNameID>74029378</LegalEntityNameID>
        <RepresentatedNamesOfAssistant/>
        <LegalEntityTypeID>4</LegalEntityTypeID>
        <IsVerdictExists>false</IsVerdictExists>
        <IsAsirAzir>false</IsAsirAzir>
        <MainAndSecSpec/>
        <IsPublicationProhibited>false</IsPublicationProhibited>
        <PublicationProhibitedFullName>ורד לוי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רוני אריאלי</FullName>
        <FirstName>רוני</FirstName>
        <LastName>אריאלי</LastName>
        <PartyPropertyName/>
        <AuthenticationTypeAndNumber>ת"ז 302856935</AuthenticationTypeAndNumber>
        <RepresentatedOrRepresentativesNames>לורי גייזלר</RepresentatedOrRepresentativesNames>
        <RepresentatedOrRepresentativesCount>1</RepresentatedOrRepresentativesCount>
        <InvitedBy/>
        <CaseID>79918750</CaseID>
        <CaseJudicialPersonPresentationDS>
          <CaseJudicalPersonActive>
            <CaseID>79918750</CaseID>
            <JudicialPersonID>032014706@GOV.IL</JudicialPersonID>
            <JudicialPersonTypeID>1</JudicialPersonTypeID>
            <JudicialTypeID>1</JudicialTypeID>
            <IsChairman>false</IsChairman>
            <TreatmentStartDate>2023-01-16T11:00:04.327+02:00</TreatmentStartDate>
            <TreatmentFinishDate>9999-12-31T23:59:59+02:00</TreatmentFinishDate>
            <IdentificationCardNumber>032014706</IdentificationCardNumber>
            <DisplayName>תמר סנונית פורר</DisplayName>
            <JudicialTypeName>שופט</JudicialTypeName>
            <CaseJudicialGroupNumber>0</CaseJudicialGroupNumber>
            <FirstName>תמר</FirstName>
            <LastName>סנונית פורר</LastName>
            <JudicialPersonTitle>שופט</JudicialPersonTitle>
          </CaseJudicalPersonActive>
        </CaseJudicialPersonPresentationDS>
        <CasePartyID>250630281</CasePartyID>
        <PartyTypeID>1</PartyTypeID>
        <ActivityStatusID>1</ActivityStatusID>
        <PartyAliasID>2</PartyAliasID>
        <PartyAliasName>נתבע</PartyAliasName>
        <OrdinalNumber>1</OrdinalNumber>
        <LegalEntityID>77961027</LegalEntityID>
        <CaseLegalEntityID>122784860</CaseLegalEntityID>
        <AuthenticationTypeID>1</AuthenticationTypeID>
        <AuthenticationTypeName>ת"ז</AuthenticationTypeName>
        <LegalEntityNumber>302856935</LegalEntityNumber>
        <IsMainPartyType>true</IsMainPartyType>
        <CaseDisplayIdentifier>37960-01-23</CaseDisplayIdentifier>
        <CaseTypeID>15</CaseTypeID>
        <CaseTypeName>תיק משפחה (תמ"ש)</CaseTypeName>
        <CaseName>אריאלי נ' חן</CaseName>
        <FullAddress>הגלעד 10 ראשון לציון מגורים</FullAddress>
        <MotionID>0</MotionID>
        <CasePleaID>0</CasePleaID>
        <FatherName>עמוס</FatherName>
        <LinkedCaseID>0</LinkedCaseID>
        <PartyID>2</PartyID>
        <CasePartyCategoryID>2</CasePartyCategoryID>
        <LegalEntityAddressID>87434269</LegalEntityAddressID>
        <PleaTypeID>4</PleaTypeID>
        <GroupPartyAlias>נתבעים</GroupPartyAlias>
        <IsConverted>false</IsConverted>
        <LegalEntityRegisteredNameID>9339515</LegalEntityRegisteredNameID>
        <LegalEntityNameID>94264651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רוני אריאלי</PublicationProhibitedFullName>
      </CaseParties>
    </CasePartiesSelectionDS>
    <CaseName>אריאלי נ' חן</CaseName>
    <CaseDisplayIdentifier>37960-01-23</CaseDisplayIdentifier>
    <CaseInterestID>10512</CaseInterestID>
    <CaseTypeShortName>תמ"ש</CaseTypeShortName>
  </dt_DecisionCase>
  <dt_DecisionJudgePanel>
    <JudgeID>032014706@GOV.IL</JudgeID>
    <DisplayName>תמר סנונית פורר</DisplayName>
    <RoleName>שופט</RoleName>
    <UserTitleName>שופטת</UserTitleName>
  </dt_DecisionJudgePanel>
  <dt_LegalEntityDetails>
    <Fax>03-5224722</Fax>
    <Phone>03-5471781</Phone>
    <AddressDesc>מגדל הכשרת הישוב קומה 26</AddressDesc>
    <PartyID>2</PartyID>
    <PartyTypeID>2</PartyTypeID>
    <DecisionID>0</DecisionID>
    <StreetName>ז'בוטינסקי 9</StreetName>
    <CityName>בני ברק</CityName>
    <FullName>לורי גייזלר</FullName>
    <Email>lori@geizler.co.il</Email>
    <IsPublicationProhibited>false</IsPublicationProhibited>
  </dt_LegalEntityDetails>
  <dt_LegalEntityDetails>
    <PartyID>1</PartyID>
    <PartyTypeID>4</PartyTypeID>
    <DecisionID>0</DecisionID>
    <IsPublicationProhibited>false</IsPublicationProhibited>
  </dt_LegalEntityDetails>
  <dt_LegalEntityDetails>
    <AddressDesc>מגורים</AddressDesc>
    <PartyID>1</PartyID>
    <PartyTypeID>1</PartyTypeID>
    <DecisionID>0</DecisionID>
    <StreetName>ביאליק 40</StreetName>
    <FullName>אלעד אריאלי</FullName>
    <IsPublicationProhibited>false</IsPublicationProhibited>
  </dt_LegalEntityDetails>
  <dt_LegalEntityDetails>
    <Fax>077-5580305</Fax>
    <Phone>077-5580305</Phone>
    <PartyID>1</PartyID>
    <PartyTypeID>2</PartyTypeID>
    <DecisionID>0</DecisionID>
    <StreetName>פדיה</StreetName>
    <CityName>פדיה</CityName>
    <FullName>ורד לוי</FullName>
    <Email>lvered.adv@gmail.com</Email>
    <IsPublicationProhibited>false</IsPublicationProhibited>
  </dt_LegalEntityDetails>
  <dt_LegalEntityDetails>
    <AddressDesc>מגורים</AddressDesc>
    <PartyID>2</PartyID>
    <PartyTypeID>1</PartyTypeID>
    <DecisionID>0</DecisionID>
    <StreetName>הגלעד 10</StreetName>
    <CityName>ראשון לציון</CityName>
    <FullName>רוני אריאלי</FullName>
    <IsPublicationProhibited>false</IsPublicationProhibited>
  </dt_LegalEntityDetails>
  <dt_LegalEntityDetails>
    <PartyID>1</PartyID>
    <PartyTypeID>4</PartyTypeID>
    <DecisionID>0</DecisionID>
    <IsPublicationProhibited>false</IsPublicationProhibited>
  </dt_LegalEntityDetails>
  <dt_CaseJudicalPersonActive>
    <CaseJudicalPerson>שופטת תמר סנונית פורר</CaseJudicalPerson>
  </dt_CaseJudicalPersonActive>
  <dt_Sitting>
    <PreviousMeetingDate>2024-05-20T11:30:00+03:00</PreviousMeetingDate>
    <PreviousSittingTypeID>25</PreviousSittingTypeID>
    <PreviousMeetingDisplayName>שופטת תמר סנונית פורר</PreviousMeetingDisplayName>
    <PreviousMeetingRoleName>שופט</PreviousMeetingRoleName>
    <PreviousMeetingUserTitleName>שופטת</PreviousMeetingUserTitleName>
    <PreviousMeetingUserUPN>032014706@GOV.IL</PreviousMeetingUserUPN>
  </dt_Sitting>
</DecisionTemplateDS>
</file>

<file path=customXml/itemProps1.xml><?xml version="1.0" encoding="utf-8"?>
<ds:datastoreItem xmlns:ds="http://schemas.openxmlformats.org/officeDocument/2006/customXml" ds:itemID="{3E22C072-0174-41DA-88AF-E90BDE433C8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3907</Words>
  <Characters>19539</Characters>
  <Application>Microsoft Office Word</Application>
  <DocSecurity>0</DocSecurity>
  <Lines>162</Lines>
  <Paragraphs>46</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23400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נעה בקר</dc:creator>
  <cp:lastModifiedBy>אסתר טטרואשילי</cp:lastModifiedBy>
  <cp:revision>2</cp:revision>
  <dcterms:created xsi:type="dcterms:W3CDTF">2024-12-31T07:12:00Z</dcterms:created>
  <dcterms:modified xsi:type="dcterms:W3CDTF">2024-12-31T07:12:00Z</dcterms:modified>
</cp:coreProperties>
</file>